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6985" w14:textId="77777777" w:rsidR="00C12D18" w:rsidRDefault="00752C84">
      <w:pPr>
        <w:pStyle w:val="Standarduser"/>
        <w:spacing w:line="500" w:lineRule="exact"/>
        <w:jc w:val="center"/>
      </w:pPr>
      <w:bookmarkStart w:id="0" w:name="_Hlk58594641"/>
      <w:r>
        <w:rPr>
          <w:rFonts w:ascii="標楷體" w:eastAsia="標楷體" w:hAnsi="標楷體"/>
          <w:color w:val="000000"/>
          <w:sz w:val="40"/>
        </w:rPr>
        <w:t>指定</w:t>
      </w:r>
      <w:proofErr w:type="gramStart"/>
      <w:r>
        <w:rPr>
          <w:rFonts w:ascii="標楷體" w:eastAsia="標楷體" w:hAnsi="標楷體"/>
          <w:color w:val="000000"/>
          <w:sz w:val="40"/>
        </w:rPr>
        <w:t>菸</w:t>
      </w:r>
      <w:proofErr w:type="gramEnd"/>
      <w:r>
        <w:rPr>
          <w:rFonts w:ascii="標楷體" w:eastAsia="標楷體" w:hAnsi="標楷體"/>
          <w:color w:val="000000"/>
          <w:sz w:val="40"/>
        </w:rPr>
        <w:t>品健康風險評估審查辦法</w:t>
      </w:r>
      <w:bookmarkEnd w:id="0"/>
    </w:p>
    <w:p w14:paraId="246805F5" w14:textId="77777777" w:rsidR="00C12D18" w:rsidRDefault="00752C84">
      <w:pPr>
        <w:pStyle w:val="Standarduser"/>
        <w:spacing w:line="500" w:lineRule="exact"/>
        <w:ind w:left="1274" w:hanging="1274"/>
        <w:jc w:val="both"/>
      </w:pPr>
      <w:r>
        <w:rPr>
          <w:rFonts w:ascii="標楷體" w:eastAsia="標楷體" w:hAnsi="標楷體"/>
          <w:color w:val="000000"/>
          <w:spacing w:val="210"/>
          <w:kern w:val="0"/>
          <w:sz w:val="28"/>
          <w:szCs w:val="28"/>
        </w:rPr>
        <w:t>第一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條　　</w:t>
      </w:r>
      <w:r>
        <w:rPr>
          <w:rFonts w:ascii="標楷體" w:eastAsia="標楷體" w:hAnsi="標楷體"/>
          <w:color w:val="000000"/>
          <w:sz w:val="28"/>
          <w:szCs w:val="28"/>
        </w:rPr>
        <w:t>本辦法依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菸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害防制法（以下稱本法）第七條第三項規定訂定之。</w:t>
      </w:r>
    </w:p>
    <w:p w14:paraId="45B95E65" w14:textId="77777777" w:rsidR="00C12D18" w:rsidRDefault="00752C84">
      <w:pPr>
        <w:pStyle w:val="Standarduser"/>
        <w:spacing w:line="500" w:lineRule="exact"/>
        <w:ind w:left="1274" w:hanging="1274"/>
        <w:jc w:val="both"/>
      </w:pPr>
      <w:r>
        <w:rPr>
          <w:rFonts w:ascii="標楷體" w:eastAsia="標楷體" w:hAnsi="標楷體"/>
          <w:color w:val="000000"/>
          <w:spacing w:val="210"/>
          <w:kern w:val="0"/>
          <w:sz w:val="28"/>
          <w:szCs w:val="28"/>
        </w:rPr>
        <w:t>第二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條　　</w:t>
      </w:r>
      <w:r>
        <w:rPr>
          <w:rFonts w:ascii="標楷體" w:eastAsia="標楷體" w:hAnsi="標楷體"/>
          <w:color w:val="000000"/>
          <w:sz w:val="28"/>
          <w:szCs w:val="28"/>
        </w:rPr>
        <w:t>指定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菸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品</w:t>
      </w:r>
      <w:r>
        <w:rPr>
          <w:rFonts w:eastAsia="標楷體"/>
          <w:color w:val="000000"/>
          <w:sz w:val="28"/>
          <w:szCs w:val="28"/>
          <w:lang w:val="zh-TW"/>
        </w:rPr>
        <w:t>（以下稱產品）</w:t>
      </w:r>
      <w:r>
        <w:rPr>
          <w:rFonts w:ascii="標楷體" w:eastAsia="標楷體" w:hAnsi="標楷體"/>
          <w:color w:val="000000"/>
          <w:sz w:val="28"/>
          <w:szCs w:val="28"/>
        </w:rPr>
        <w:t>應由製造、輸入業者（以下稱業者）於製造、輸入前，或中央主管機關依本法第七條第二項公告指定之一定期限內，向中央主管機關申請健康風險評估審查。</w:t>
      </w:r>
      <w:r>
        <w:rPr>
          <w:rFonts w:ascii="標楷體" w:eastAsia="標楷體" w:hAnsi="標楷體" w:cs="標楷體"/>
          <w:color w:val="000000"/>
          <w:sz w:val="28"/>
          <w:szCs w:val="28"/>
        </w:rPr>
        <w:t>但備有研究或試驗計畫，產品無商品化包裝，非供販賣，其數量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不逾供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研究或試驗之用，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且報經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中央主管機關許可者，不在此限。</w:t>
      </w:r>
    </w:p>
    <w:p w14:paraId="73673316" w14:textId="77777777" w:rsidR="00C12D18" w:rsidRDefault="00752C84">
      <w:pPr>
        <w:pStyle w:val="Standarduser"/>
        <w:spacing w:line="500" w:lineRule="exact"/>
        <w:ind w:left="1296" w:firstLine="56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申請健康風險評估審查，應檢附之產品必要之組合元件，得報中央主管機關許可，專案製造或輸入必要之數量。</w:t>
      </w:r>
    </w:p>
    <w:p w14:paraId="591FD07F" w14:textId="77777777" w:rsidR="00C12D18" w:rsidRDefault="00752C84">
      <w:pPr>
        <w:pStyle w:val="Standarduser"/>
        <w:spacing w:line="500" w:lineRule="exact"/>
        <w:ind w:left="1296" w:firstLine="56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第一項</w:t>
      </w:r>
      <w:r>
        <w:rPr>
          <w:rFonts w:ascii="標楷體" w:eastAsia="標楷體" w:hAnsi="標楷體"/>
          <w:color w:val="000000"/>
          <w:sz w:val="28"/>
          <w:szCs w:val="28"/>
        </w:rPr>
        <w:t>申請，其產品</w:t>
      </w:r>
      <w:r>
        <w:rPr>
          <w:rFonts w:ascii="標楷體" w:eastAsia="標楷體" w:hAnsi="標楷體" w:cs="標楷體"/>
          <w:color w:val="000000"/>
          <w:sz w:val="28"/>
          <w:szCs w:val="28"/>
        </w:rPr>
        <w:t>為國外製造者，應由輸入業者為之。</w:t>
      </w:r>
    </w:p>
    <w:p w14:paraId="348E7B91" w14:textId="77777777" w:rsidR="00C12D18" w:rsidRDefault="00752C84">
      <w:pPr>
        <w:pStyle w:val="Standarduser"/>
        <w:spacing w:line="500" w:lineRule="exact"/>
        <w:ind w:left="1274" w:hanging="1274"/>
        <w:jc w:val="both"/>
      </w:pPr>
      <w:r>
        <w:rPr>
          <w:rFonts w:ascii="標楷體" w:eastAsia="標楷體" w:hAnsi="標楷體"/>
          <w:color w:val="000000"/>
          <w:spacing w:val="210"/>
          <w:kern w:val="0"/>
          <w:sz w:val="28"/>
          <w:szCs w:val="28"/>
        </w:rPr>
        <w:t>第三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條　　</w:t>
      </w:r>
      <w:r>
        <w:rPr>
          <w:rFonts w:eastAsia="標楷體"/>
          <w:color w:val="000000"/>
          <w:sz w:val="28"/>
          <w:szCs w:val="28"/>
          <w:lang w:val="zh-TW"/>
        </w:rPr>
        <w:t>前條申請，應填具中央主管機關公告之申請書，並檢附下列文件、資料及物件：</w:t>
      </w:r>
    </w:p>
    <w:p w14:paraId="592744F0" w14:textId="77777777" w:rsidR="00C12D18" w:rsidRDefault="00752C84">
      <w:pPr>
        <w:pStyle w:val="Standarduser"/>
        <w:spacing w:line="500" w:lineRule="exact"/>
        <w:ind w:left="2460" w:hanging="588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一、</w:t>
      </w:r>
      <w:r>
        <w:rPr>
          <w:rFonts w:eastAsia="標楷體"/>
          <w:color w:val="000000"/>
          <w:sz w:val="28"/>
          <w:szCs w:val="28"/>
          <w:lang w:val="zh-TW"/>
        </w:rPr>
        <w:t>已公開與業者已知、應知之健康風險研究資料，及與其他</w:t>
      </w:r>
      <w:proofErr w:type="gramStart"/>
      <w:r>
        <w:rPr>
          <w:rFonts w:eastAsia="標楷體"/>
          <w:color w:val="000000"/>
          <w:sz w:val="28"/>
          <w:szCs w:val="28"/>
          <w:lang w:val="zh-TW"/>
        </w:rPr>
        <w:t>菸</w:t>
      </w:r>
      <w:proofErr w:type="gramEnd"/>
      <w:r>
        <w:rPr>
          <w:rFonts w:eastAsia="標楷體"/>
          <w:color w:val="000000"/>
          <w:sz w:val="28"/>
          <w:szCs w:val="28"/>
          <w:lang w:val="zh-TW"/>
        </w:rPr>
        <w:t>品健康風險之比較。</w:t>
      </w:r>
    </w:p>
    <w:p w14:paraId="528C8E2B" w14:textId="77777777" w:rsidR="00C12D18" w:rsidRDefault="00752C84">
      <w:pPr>
        <w:pStyle w:val="Standarduser"/>
        <w:spacing w:line="500" w:lineRule="exact"/>
        <w:ind w:left="2460" w:hanging="588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二、</w:t>
      </w:r>
      <w:r>
        <w:rPr>
          <w:rFonts w:eastAsia="標楷體"/>
          <w:color w:val="000000"/>
          <w:sz w:val="28"/>
          <w:szCs w:val="28"/>
          <w:lang w:val="zh-TW"/>
        </w:rPr>
        <w:t>原料、添加物及其他有關成分之資料。</w:t>
      </w:r>
    </w:p>
    <w:p w14:paraId="7536DF6F" w14:textId="77777777" w:rsidR="00C12D18" w:rsidRDefault="00752C84">
      <w:pPr>
        <w:pStyle w:val="Standarduser"/>
        <w:spacing w:line="500" w:lineRule="exact"/>
        <w:ind w:left="2460" w:hanging="588"/>
        <w:jc w:val="both"/>
      </w:pPr>
      <w:r>
        <w:rPr>
          <w:rFonts w:eastAsia="標楷體"/>
          <w:color w:val="000000"/>
          <w:sz w:val="28"/>
          <w:szCs w:val="28"/>
          <w:lang w:val="zh-TW"/>
        </w:rPr>
        <w:t>三、排放物相關組成之資料。</w:t>
      </w:r>
    </w:p>
    <w:p w14:paraId="5526A108" w14:textId="77777777" w:rsidR="00C12D18" w:rsidRDefault="00752C84">
      <w:pPr>
        <w:pStyle w:val="Standarduser"/>
        <w:spacing w:line="500" w:lineRule="exact"/>
        <w:ind w:left="2460" w:hanging="588"/>
        <w:jc w:val="both"/>
      </w:pPr>
      <w:r>
        <w:rPr>
          <w:rFonts w:eastAsia="標楷體"/>
          <w:color w:val="000000"/>
          <w:sz w:val="28"/>
          <w:szCs w:val="28"/>
          <w:lang w:val="zh-TW"/>
        </w:rPr>
        <w:t>四、前二款物質檢驗</w:t>
      </w:r>
      <w:r>
        <w:rPr>
          <w:rFonts w:eastAsia="標楷體"/>
          <w:color w:val="000000"/>
          <w:sz w:val="28"/>
          <w:szCs w:val="28"/>
          <w:lang w:val="zh-TW"/>
        </w:rPr>
        <w:t>方法之資料。</w:t>
      </w:r>
    </w:p>
    <w:p w14:paraId="45FC858D" w14:textId="77777777" w:rsidR="00C12D18" w:rsidRDefault="00752C84">
      <w:pPr>
        <w:pStyle w:val="Standarduser"/>
        <w:spacing w:line="500" w:lineRule="exact"/>
        <w:ind w:left="2460" w:hanging="588"/>
        <w:jc w:val="both"/>
      </w:pPr>
      <w:r>
        <w:rPr>
          <w:rFonts w:eastAsia="標楷體"/>
          <w:color w:val="000000"/>
          <w:sz w:val="28"/>
          <w:szCs w:val="28"/>
          <w:lang w:val="zh-TW"/>
        </w:rPr>
        <w:t>五、加工方法。</w:t>
      </w:r>
    </w:p>
    <w:p w14:paraId="039C3D4E" w14:textId="77777777" w:rsidR="00C12D18" w:rsidRDefault="00752C84">
      <w:pPr>
        <w:pStyle w:val="Standarduser"/>
        <w:spacing w:line="500" w:lineRule="exact"/>
        <w:ind w:left="2460" w:hanging="588"/>
        <w:jc w:val="both"/>
      </w:pPr>
      <w:r>
        <w:rPr>
          <w:rFonts w:eastAsia="標楷體"/>
          <w:color w:val="000000"/>
          <w:sz w:val="28"/>
          <w:szCs w:val="28"/>
          <w:lang w:val="zh-TW"/>
        </w:rPr>
        <w:t>六、成癮性物質之研究資料。</w:t>
      </w:r>
    </w:p>
    <w:p w14:paraId="1BE88CF7" w14:textId="77777777" w:rsidR="00C12D18" w:rsidRDefault="00752C84">
      <w:pPr>
        <w:pStyle w:val="Standarduser"/>
        <w:spacing w:line="500" w:lineRule="exact"/>
        <w:ind w:left="2460" w:hanging="588"/>
        <w:jc w:val="both"/>
      </w:pPr>
      <w:r>
        <w:rPr>
          <w:rFonts w:eastAsia="標楷體"/>
          <w:color w:val="000000"/>
          <w:sz w:val="28"/>
          <w:szCs w:val="28"/>
          <w:lang w:val="zh-TW"/>
        </w:rPr>
        <w:t>七、致未滿二十歲之人及初始吸菸者，使用該產品之有關資料。</w:t>
      </w:r>
    </w:p>
    <w:p w14:paraId="437498FA" w14:textId="77777777" w:rsidR="00C12D18" w:rsidRDefault="00752C84">
      <w:pPr>
        <w:pStyle w:val="Standarduser"/>
        <w:spacing w:line="500" w:lineRule="exact"/>
        <w:ind w:left="2460" w:hanging="588"/>
        <w:jc w:val="both"/>
      </w:pPr>
      <w:r>
        <w:rPr>
          <w:rFonts w:eastAsia="標楷體"/>
          <w:color w:val="000000"/>
          <w:sz w:val="28"/>
          <w:szCs w:val="28"/>
          <w:lang w:val="zh-TW"/>
        </w:rPr>
        <w:t>八、該產品最小使用單位或其排放物之尼古丁、焦油含量。</w:t>
      </w:r>
    </w:p>
    <w:p w14:paraId="6B1D7FF7" w14:textId="77777777" w:rsidR="00C12D18" w:rsidRDefault="00752C84">
      <w:pPr>
        <w:pStyle w:val="Standarduser"/>
        <w:spacing w:line="500" w:lineRule="exact"/>
        <w:ind w:left="2460" w:hanging="588"/>
        <w:jc w:val="both"/>
      </w:pPr>
      <w:r>
        <w:rPr>
          <w:rFonts w:eastAsia="標楷體"/>
          <w:color w:val="000000"/>
          <w:sz w:val="28"/>
          <w:szCs w:val="28"/>
          <w:lang w:val="zh-TW"/>
        </w:rPr>
        <w:t>九、產品與其必要之組合元件（以下稱組合元件）樣本及</w:t>
      </w:r>
      <w:r>
        <w:rPr>
          <w:rFonts w:eastAsia="標楷體"/>
          <w:color w:val="000000"/>
          <w:sz w:val="28"/>
          <w:szCs w:val="28"/>
        </w:rPr>
        <w:t>使用時之安全性聲明書。</w:t>
      </w:r>
    </w:p>
    <w:p w14:paraId="65C31C11" w14:textId="77777777" w:rsidR="00C12D18" w:rsidRDefault="00752C84">
      <w:pPr>
        <w:pStyle w:val="Standarduser"/>
        <w:spacing w:line="500" w:lineRule="exact"/>
        <w:ind w:left="2460" w:hanging="588"/>
        <w:jc w:val="both"/>
      </w:pPr>
      <w:r>
        <w:rPr>
          <w:rFonts w:eastAsia="標楷體"/>
          <w:color w:val="000000"/>
          <w:sz w:val="28"/>
          <w:szCs w:val="28"/>
          <w:lang w:val="zh-TW"/>
        </w:rPr>
        <w:t>十、組合元件經認證通過之實驗室，依國家標準檢驗合</w:t>
      </w:r>
      <w:r>
        <w:rPr>
          <w:rFonts w:eastAsia="標楷體"/>
          <w:color w:val="000000"/>
          <w:sz w:val="28"/>
          <w:szCs w:val="28"/>
          <w:lang w:val="zh-TW"/>
        </w:rPr>
        <w:lastRenderedPageBreak/>
        <w:t>格之安全性文件、資料。</w:t>
      </w:r>
    </w:p>
    <w:p w14:paraId="0918A367" w14:textId="77777777" w:rsidR="00C12D18" w:rsidRDefault="00752C84">
      <w:pPr>
        <w:pStyle w:val="Standarduser"/>
        <w:spacing w:line="500" w:lineRule="exact"/>
        <w:ind w:left="2740" w:hanging="868"/>
        <w:jc w:val="both"/>
      </w:pPr>
      <w:r>
        <w:rPr>
          <w:rFonts w:eastAsia="標楷體"/>
          <w:color w:val="000000"/>
          <w:sz w:val="28"/>
          <w:szCs w:val="28"/>
          <w:lang w:val="zh-TW"/>
        </w:rPr>
        <w:t>十一、該產品經許可販賣之國家名稱、許可日之文件、資料。</w:t>
      </w:r>
    </w:p>
    <w:p w14:paraId="11415720" w14:textId="77777777" w:rsidR="00C12D18" w:rsidRDefault="00752C84">
      <w:pPr>
        <w:pStyle w:val="Standarduser"/>
        <w:spacing w:line="500" w:lineRule="exact"/>
        <w:ind w:left="2740" w:hanging="868"/>
        <w:jc w:val="both"/>
      </w:pPr>
      <w:r>
        <w:rPr>
          <w:rFonts w:eastAsia="標楷體"/>
          <w:color w:val="000000"/>
          <w:sz w:val="28"/>
          <w:szCs w:val="28"/>
          <w:lang w:val="zh-TW"/>
        </w:rPr>
        <w:t>十二、</w:t>
      </w:r>
      <w:r>
        <w:rPr>
          <w:rFonts w:eastAsia="標楷體"/>
          <w:color w:val="000000"/>
          <w:sz w:val="28"/>
          <w:szCs w:val="28"/>
        </w:rPr>
        <w:t>有關</w:t>
      </w:r>
      <w:proofErr w:type="gramStart"/>
      <w:r>
        <w:rPr>
          <w:rFonts w:eastAsia="標楷體"/>
          <w:color w:val="000000"/>
          <w:sz w:val="28"/>
          <w:szCs w:val="28"/>
        </w:rPr>
        <w:t>菸</w:t>
      </w:r>
      <w:proofErr w:type="gramEnd"/>
      <w:r>
        <w:rPr>
          <w:rFonts w:eastAsia="標楷體"/>
          <w:color w:val="000000"/>
          <w:sz w:val="28"/>
          <w:szCs w:val="28"/>
        </w:rPr>
        <w:t>害防制監視、管控機制之具體措施、遵行方式及承諾事項。</w:t>
      </w:r>
    </w:p>
    <w:p w14:paraId="12B81CA7" w14:textId="77777777" w:rsidR="00C12D18" w:rsidRDefault="00752C84">
      <w:pPr>
        <w:pStyle w:val="Standarduser"/>
        <w:spacing w:line="500" w:lineRule="exact"/>
        <w:ind w:left="2740" w:hanging="868"/>
        <w:jc w:val="both"/>
      </w:pPr>
      <w:r>
        <w:rPr>
          <w:rFonts w:eastAsia="標楷體"/>
          <w:color w:val="000000"/>
          <w:sz w:val="28"/>
          <w:szCs w:val="28"/>
          <w:lang w:val="zh-TW"/>
        </w:rPr>
        <w:t>十三、其他經中央</w:t>
      </w:r>
      <w:r>
        <w:rPr>
          <w:rFonts w:eastAsia="標楷體"/>
          <w:color w:val="000000"/>
          <w:sz w:val="28"/>
          <w:szCs w:val="28"/>
        </w:rPr>
        <w:t>主管機關</w:t>
      </w:r>
      <w:r>
        <w:rPr>
          <w:rFonts w:eastAsia="標楷體"/>
          <w:color w:val="000000"/>
          <w:sz w:val="28"/>
          <w:szCs w:val="28"/>
          <w:lang w:val="zh-TW"/>
        </w:rPr>
        <w:t>指定之文件、資料及物件。</w:t>
      </w:r>
    </w:p>
    <w:p w14:paraId="3C2FE4B8" w14:textId="77777777" w:rsidR="00C12D18" w:rsidRDefault="00752C84">
      <w:pPr>
        <w:pStyle w:val="Standarduser"/>
        <w:spacing w:line="500" w:lineRule="exact"/>
        <w:ind w:left="1296" w:firstLine="560"/>
        <w:jc w:val="both"/>
      </w:pPr>
      <w:r>
        <w:rPr>
          <w:rFonts w:eastAsia="標楷體"/>
          <w:color w:val="000000"/>
          <w:sz w:val="28"/>
          <w:szCs w:val="28"/>
          <w:lang w:val="zh-TW"/>
        </w:rPr>
        <w:t>前項文件、資料，除數字外，應以中文製作，必要時得加</w:t>
      </w:r>
      <w:proofErr w:type="gramStart"/>
      <w:r>
        <w:rPr>
          <w:rFonts w:eastAsia="標楷體"/>
          <w:color w:val="000000"/>
          <w:sz w:val="28"/>
          <w:szCs w:val="28"/>
          <w:lang w:val="zh-TW"/>
        </w:rPr>
        <w:t>註</w:t>
      </w:r>
      <w:proofErr w:type="gramEnd"/>
      <w:r>
        <w:rPr>
          <w:rFonts w:eastAsia="標楷體"/>
          <w:color w:val="000000"/>
          <w:sz w:val="28"/>
          <w:szCs w:val="28"/>
          <w:lang w:val="zh-TW"/>
        </w:rPr>
        <w:t>英文。</w:t>
      </w:r>
    </w:p>
    <w:p w14:paraId="14664D93" w14:textId="77777777" w:rsidR="00C12D18" w:rsidRDefault="00752C84">
      <w:pPr>
        <w:pStyle w:val="Standarduser"/>
        <w:spacing w:line="500" w:lineRule="exact"/>
        <w:ind w:left="1296" w:firstLine="560"/>
        <w:jc w:val="both"/>
      </w:pPr>
      <w:r>
        <w:rPr>
          <w:rFonts w:eastAsia="標楷體"/>
          <w:color w:val="000000"/>
          <w:sz w:val="28"/>
          <w:szCs w:val="28"/>
          <w:lang w:val="zh-TW"/>
        </w:rPr>
        <w:t>第一項之文件、資料及物件不完備者，中央主管機關應令其限期補正；屆期</w:t>
      </w:r>
      <w:proofErr w:type="gramStart"/>
      <w:r>
        <w:rPr>
          <w:rFonts w:eastAsia="標楷體"/>
          <w:color w:val="000000"/>
          <w:sz w:val="28"/>
          <w:szCs w:val="28"/>
          <w:lang w:val="zh-TW"/>
        </w:rPr>
        <w:t>不</w:t>
      </w:r>
      <w:proofErr w:type="gramEnd"/>
      <w:r>
        <w:rPr>
          <w:rFonts w:eastAsia="標楷體"/>
          <w:color w:val="000000"/>
          <w:sz w:val="28"/>
          <w:szCs w:val="28"/>
          <w:lang w:val="zh-TW"/>
        </w:rPr>
        <w:t>補正者，不予受理。</w:t>
      </w:r>
    </w:p>
    <w:p w14:paraId="33BAB501" w14:textId="77777777" w:rsidR="00C12D18" w:rsidRDefault="00752C84">
      <w:pPr>
        <w:pStyle w:val="Standarduser"/>
        <w:spacing w:line="500" w:lineRule="exact"/>
        <w:ind w:left="1296" w:firstLine="560"/>
        <w:jc w:val="both"/>
      </w:pPr>
      <w:r>
        <w:rPr>
          <w:rFonts w:eastAsia="標楷體"/>
          <w:color w:val="000000"/>
          <w:sz w:val="28"/>
          <w:szCs w:val="28"/>
          <w:lang w:val="zh-TW"/>
        </w:rPr>
        <w:t>第一項第十款之國家標準未公告前，</w:t>
      </w:r>
      <w:proofErr w:type="gramStart"/>
      <w:r>
        <w:rPr>
          <w:rFonts w:eastAsia="標楷體"/>
          <w:color w:val="000000"/>
          <w:sz w:val="28"/>
          <w:szCs w:val="28"/>
          <w:lang w:val="zh-TW"/>
        </w:rPr>
        <w:t>得暫以</w:t>
      </w:r>
      <w:proofErr w:type="gramEnd"/>
      <w:r>
        <w:rPr>
          <w:rFonts w:eastAsia="標楷體"/>
          <w:color w:val="000000"/>
          <w:sz w:val="28"/>
          <w:szCs w:val="28"/>
          <w:lang w:val="zh-TW"/>
        </w:rPr>
        <w:t>經中央主管機關認可之國際標準代之。</w:t>
      </w:r>
    </w:p>
    <w:p w14:paraId="1CBEAE79" w14:textId="77777777" w:rsidR="00C12D18" w:rsidRDefault="00752C84">
      <w:pPr>
        <w:pStyle w:val="Standarduser"/>
        <w:spacing w:line="500" w:lineRule="exact"/>
        <w:ind w:left="1274" w:hanging="1274"/>
        <w:jc w:val="both"/>
      </w:pPr>
      <w:r>
        <w:rPr>
          <w:rFonts w:ascii="標楷體" w:eastAsia="標楷體" w:hAnsi="標楷體"/>
          <w:color w:val="000000"/>
          <w:spacing w:val="210"/>
          <w:kern w:val="0"/>
          <w:sz w:val="28"/>
          <w:szCs w:val="28"/>
        </w:rPr>
        <w:t>第四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條　　</w:t>
      </w:r>
      <w:r>
        <w:rPr>
          <w:rFonts w:ascii="標楷體" w:eastAsia="標楷體" w:hAnsi="標楷體"/>
          <w:color w:val="000000"/>
          <w:sz w:val="28"/>
          <w:szCs w:val="28"/>
        </w:rPr>
        <w:t>中央</w:t>
      </w:r>
      <w:r>
        <w:rPr>
          <w:rFonts w:eastAsia="標楷體"/>
          <w:color w:val="000000"/>
          <w:sz w:val="28"/>
          <w:szCs w:val="28"/>
          <w:lang w:val="zh-TW"/>
        </w:rPr>
        <w:t>主管機關</w:t>
      </w:r>
      <w:r>
        <w:rPr>
          <w:rFonts w:ascii="標楷體" w:eastAsia="標楷體" w:hAnsi="標楷體"/>
          <w:color w:val="000000"/>
          <w:sz w:val="28"/>
          <w:szCs w:val="28"/>
        </w:rPr>
        <w:t>辦理健康風險評估</w:t>
      </w:r>
      <w:r>
        <w:rPr>
          <w:rFonts w:ascii="標楷體" w:eastAsia="標楷體" w:hAnsi="標楷體" w:cs="標楷體"/>
          <w:color w:val="000000"/>
          <w:sz w:val="28"/>
          <w:szCs w:val="28"/>
        </w:rPr>
        <w:t>審查</w:t>
      </w:r>
      <w:r>
        <w:rPr>
          <w:rFonts w:ascii="標楷體" w:eastAsia="標楷體" w:hAnsi="標楷體"/>
          <w:color w:val="000000"/>
          <w:sz w:val="28"/>
          <w:szCs w:val="28"/>
        </w:rPr>
        <w:t>，應邀集公共衛生、衛生政策、毒理學及其他有關專家學者為之。</w:t>
      </w:r>
    </w:p>
    <w:p w14:paraId="5A3819E5" w14:textId="77777777" w:rsidR="00C12D18" w:rsidRDefault="00752C84">
      <w:pPr>
        <w:pStyle w:val="Standarduser"/>
        <w:spacing w:line="500" w:lineRule="exact"/>
        <w:ind w:left="1296" w:firstLine="560"/>
        <w:jc w:val="both"/>
      </w:pPr>
      <w:r>
        <w:rPr>
          <w:rFonts w:eastAsia="標楷體"/>
          <w:color w:val="000000"/>
          <w:sz w:val="28"/>
          <w:szCs w:val="28"/>
          <w:lang w:val="zh-TW"/>
        </w:rPr>
        <w:t>前項審查，得參考其他國家對該產品之健康風險評估審查與上市後監控機制，及其他有關管理措施。</w:t>
      </w:r>
    </w:p>
    <w:p w14:paraId="35463A0A" w14:textId="77777777" w:rsidR="00C12D18" w:rsidRDefault="00752C84">
      <w:pPr>
        <w:pStyle w:val="Standarduser"/>
        <w:spacing w:line="500" w:lineRule="exact"/>
        <w:jc w:val="both"/>
      </w:pPr>
      <w:r>
        <w:rPr>
          <w:rFonts w:ascii="標楷體" w:eastAsia="標楷體" w:hAnsi="標楷體"/>
          <w:color w:val="000000"/>
          <w:spacing w:val="210"/>
          <w:kern w:val="0"/>
          <w:sz w:val="28"/>
          <w:szCs w:val="28"/>
        </w:rPr>
        <w:t>第五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條　　</w:t>
      </w:r>
      <w:r>
        <w:rPr>
          <w:rFonts w:eastAsia="標楷體"/>
          <w:color w:val="000000"/>
          <w:sz w:val="28"/>
          <w:szCs w:val="28"/>
          <w:lang w:val="zh-TW"/>
        </w:rPr>
        <w:t>健康風險評估</w:t>
      </w:r>
      <w:r>
        <w:rPr>
          <w:rFonts w:ascii="標楷體" w:eastAsia="標楷體" w:hAnsi="標楷體" w:cs="標楷體"/>
          <w:color w:val="000000"/>
          <w:sz w:val="28"/>
          <w:szCs w:val="28"/>
        </w:rPr>
        <w:t>審查</w:t>
      </w:r>
      <w:r>
        <w:rPr>
          <w:rFonts w:eastAsia="標楷體"/>
          <w:color w:val="000000"/>
          <w:sz w:val="28"/>
          <w:szCs w:val="28"/>
          <w:lang w:val="zh-TW"/>
        </w:rPr>
        <w:t>，有下列情事之</w:t>
      </w:r>
      <w:proofErr w:type="gramStart"/>
      <w:r>
        <w:rPr>
          <w:rFonts w:eastAsia="標楷體"/>
          <w:color w:val="000000"/>
          <w:sz w:val="28"/>
          <w:szCs w:val="28"/>
          <w:lang w:val="zh-TW"/>
        </w:rPr>
        <w:t>一</w:t>
      </w:r>
      <w:proofErr w:type="gramEnd"/>
      <w:r>
        <w:rPr>
          <w:rFonts w:eastAsia="標楷體"/>
          <w:color w:val="000000"/>
          <w:sz w:val="28"/>
          <w:szCs w:val="28"/>
          <w:lang w:val="zh-TW"/>
        </w:rPr>
        <w:t>者，應予核駁：</w:t>
      </w:r>
    </w:p>
    <w:p w14:paraId="622D4EEC" w14:textId="77777777" w:rsidR="00C12D18" w:rsidRDefault="00752C84">
      <w:pPr>
        <w:pStyle w:val="Standarduser"/>
        <w:spacing w:line="500" w:lineRule="exact"/>
        <w:ind w:left="2460" w:hanging="588"/>
        <w:jc w:val="both"/>
      </w:pPr>
      <w:r>
        <w:rPr>
          <w:rFonts w:eastAsia="標楷體"/>
          <w:color w:val="000000"/>
          <w:sz w:val="28"/>
          <w:szCs w:val="28"/>
          <w:lang w:val="zh-TW"/>
        </w:rPr>
        <w:t>一、缺乏足夠資料，佐證其健康風險未高於國</w:t>
      </w:r>
      <w:r>
        <w:rPr>
          <w:rFonts w:eastAsia="標楷體"/>
          <w:color w:val="000000"/>
          <w:sz w:val="28"/>
          <w:szCs w:val="28"/>
          <w:lang w:val="zh-TW"/>
        </w:rPr>
        <w:t>內已販賣之紙</w:t>
      </w:r>
      <w:proofErr w:type="gramStart"/>
      <w:r>
        <w:rPr>
          <w:rFonts w:eastAsia="標楷體"/>
          <w:color w:val="000000"/>
          <w:sz w:val="28"/>
          <w:szCs w:val="28"/>
          <w:lang w:val="zh-TW"/>
        </w:rPr>
        <w:t>菸</w:t>
      </w:r>
      <w:proofErr w:type="gramEnd"/>
      <w:r>
        <w:rPr>
          <w:rFonts w:eastAsia="標楷體"/>
          <w:color w:val="000000"/>
          <w:sz w:val="28"/>
          <w:szCs w:val="28"/>
          <w:lang w:val="zh-TW"/>
        </w:rPr>
        <w:t>。</w:t>
      </w:r>
    </w:p>
    <w:p w14:paraId="7F39A3E6" w14:textId="77777777" w:rsidR="00C12D18" w:rsidRDefault="00752C84">
      <w:pPr>
        <w:pStyle w:val="Standarduser"/>
        <w:spacing w:line="500" w:lineRule="exact"/>
        <w:ind w:left="2460" w:hanging="588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二、</w:t>
      </w:r>
      <w:r>
        <w:rPr>
          <w:rFonts w:eastAsia="標楷體"/>
          <w:color w:val="000000"/>
          <w:sz w:val="28"/>
          <w:szCs w:val="28"/>
          <w:lang w:val="zh-TW"/>
        </w:rPr>
        <w:t>本法禁止之事項。</w:t>
      </w:r>
    </w:p>
    <w:p w14:paraId="6151AB89" w14:textId="77777777" w:rsidR="00C12D18" w:rsidRDefault="00752C84">
      <w:pPr>
        <w:pStyle w:val="Standarduser"/>
        <w:spacing w:line="500" w:lineRule="exact"/>
        <w:ind w:left="2460" w:hanging="588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三、</w:t>
      </w:r>
      <w:r>
        <w:rPr>
          <w:rFonts w:eastAsia="標楷體"/>
          <w:color w:val="000000"/>
          <w:sz w:val="28"/>
          <w:szCs w:val="28"/>
          <w:lang w:val="zh-TW"/>
        </w:rPr>
        <w:t>突發明顯影響健康之實證。</w:t>
      </w:r>
    </w:p>
    <w:p w14:paraId="152E7FB6" w14:textId="77777777" w:rsidR="00C12D18" w:rsidRDefault="00752C84">
      <w:pPr>
        <w:pStyle w:val="Standarduser"/>
        <w:spacing w:line="500" w:lineRule="exact"/>
        <w:ind w:left="2460" w:hanging="588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四、</w:t>
      </w:r>
      <w:r>
        <w:rPr>
          <w:rFonts w:eastAsia="標楷體"/>
          <w:color w:val="000000"/>
          <w:sz w:val="28"/>
          <w:szCs w:val="28"/>
          <w:lang w:val="zh-TW"/>
        </w:rPr>
        <w:t>不符合中央主管機關公告之情事。</w:t>
      </w:r>
    </w:p>
    <w:p w14:paraId="33E633E6" w14:textId="77777777" w:rsidR="00C12D18" w:rsidRDefault="00752C84">
      <w:pPr>
        <w:pStyle w:val="Standarduser"/>
        <w:spacing w:line="500" w:lineRule="exact"/>
        <w:ind w:left="1274" w:hanging="1274"/>
        <w:jc w:val="both"/>
      </w:pPr>
      <w:r>
        <w:rPr>
          <w:rFonts w:ascii="標楷體" w:eastAsia="標楷體" w:hAnsi="標楷體"/>
          <w:color w:val="000000"/>
          <w:spacing w:val="210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pacing w:val="210"/>
          <w:sz w:val="28"/>
          <w:szCs w:val="28"/>
        </w:rPr>
        <w:t>六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條　　</w:t>
      </w:r>
      <w:r>
        <w:rPr>
          <w:rFonts w:ascii="標楷體" w:eastAsia="標楷體" w:hAnsi="標楷體"/>
          <w:color w:val="000000"/>
          <w:sz w:val="28"/>
          <w:szCs w:val="28"/>
        </w:rPr>
        <w:t>中央主管機關就經健康風險評估審查核定通過之產品，得要求業者辦理、提報下列上市後監視及管控機制：</w:t>
      </w:r>
    </w:p>
    <w:p w14:paraId="2161BCAC" w14:textId="77777777" w:rsidR="00C12D18" w:rsidRDefault="00752C84">
      <w:pPr>
        <w:pStyle w:val="Standarduser"/>
        <w:spacing w:line="500" w:lineRule="exact"/>
        <w:ind w:left="2460" w:hanging="588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一、</w:t>
      </w:r>
      <w:r>
        <w:rPr>
          <w:rFonts w:ascii="標楷體" w:eastAsia="標楷體" w:hAnsi="標楷體"/>
          <w:color w:val="000000"/>
          <w:sz w:val="28"/>
          <w:szCs w:val="28"/>
        </w:rPr>
        <w:t>執行中或已完成之消費者使用該產品之有關研究及其結果。</w:t>
      </w:r>
    </w:p>
    <w:p w14:paraId="3D8FDC37" w14:textId="77777777" w:rsidR="00C12D18" w:rsidRDefault="00752C84">
      <w:pPr>
        <w:pStyle w:val="Standarduser"/>
        <w:spacing w:line="500" w:lineRule="exact"/>
        <w:ind w:left="2460" w:hanging="588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二、</w:t>
      </w:r>
      <w:r>
        <w:rPr>
          <w:rFonts w:ascii="標楷體" w:eastAsia="標楷體" w:hAnsi="標楷體"/>
          <w:color w:val="000000"/>
          <w:sz w:val="28"/>
          <w:szCs w:val="28"/>
        </w:rPr>
        <w:t>產品販賣及消費者客訴之資料。</w:t>
      </w:r>
    </w:p>
    <w:p w14:paraId="52FFF9A1" w14:textId="77777777" w:rsidR="00C12D18" w:rsidRDefault="00752C84">
      <w:pPr>
        <w:pStyle w:val="Standarduser"/>
        <w:spacing w:line="500" w:lineRule="exact"/>
        <w:ind w:left="2460" w:hanging="588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三、</w:t>
      </w:r>
      <w:r>
        <w:rPr>
          <w:rFonts w:ascii="標楷體" w:eastAsia="標楷體" w:hAnsi="標楷體"/>
          <w:color w:val="000000"/>
          <w:sz w:val="28"/>
          <w:szCs w:val="28"/>
        </w:rPr>
        <w:t>既有吸菸者及初始吸菸者，使用該產品之有關資訊。</w:t>
      </w:r>
    </w:p>
    <w:p w14:paraId="4118728D" w14:textId="77777777" w:rsidR="00C12D18" w:rsidRDefault="00752C84">
      <w:pPr>
        <w:pStyle w:val="Standarduser"/>
        <w:spacing w:line="500" w:lineRule="exact"/>
        <w:ind w:left="2460" w:hanging="588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  <w:szCs w:val="28"/>
        </w:rPr>
        <w:t>製程或組成物之改變。</w:t>
      </w:r>
    </w:p>
    <w:p w14:paraId="61EF55A0" w14:textId="77777777" w:rsidR="00C12D18" w:rsidRDefault="00752C84">
      <w:pPr>
        <w:pStyle w:val="Standarduser"/>
        <w:spacing w:line="500" w:lineRule="exact"/>
        <w:ind w:left="2460" w:hanging="588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五、</w:t>
      </w:r>
      <w:r>
        <w:rPr>
          <w:rFonts w:ascii="標楷體" w:eastAsia="標楷體" w:hAnsi="標楷體"/>
          <w:color w:val="000000"/>
          <w:sz w:val="28"/>
          <w:szCs w:val="28"/>
        </w:rPr>
        <w:t>不良事件通報、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研析及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因應機制。</w:t>
      </w:r>
    </w:p>
    <w:p w14:paraId="35B4C320" w14:textId="77777777" w:rsidR="00C12D18" w:rsidRDefault="00752C84">
      <w:pPr>
        <w:pStyle w:val="Standarduser"/>
        <w:spacing w:line="500" w:lineRule="exact"/>
        <w:ind w:left="2460" w:hanging="588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六、</w:t>
      </w:r>
      <w:r>
        <w:rPr>
          <w:rFonts w:ascii="標楷體" w:eastAsia="標楷體" w:hAnsi="標楷體"/>
          <w:color w:val="000000"/>
          <w:sz w:val="28"/>
          <w:szCs w:val="28"/>
        </w:rPr>
        <w:t>新發現之成癮性資料。</w:t>
      </w:r>
    </w:p>
    <w:p w14:paraId="72AE80F5" w14:textId="77777777" w:rsidR="00C12D18" w:rsidRDefault="00752C84">
      <w:pPr>
        <w:pStyle w:val="Standarduser"/>
        <w:spacing w:line="500" w:lineRule="exact"/>
        <w:ind w:left="2460" w:hanging="588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七、</w:t>
      </w:r>
      <w:r>
        <w:rPr>
          <w:rFonts w:ascii="標楷體" w:eastAsia="標楷體" w:hAnsi="標楷體"/>
          <w:color w:val="000000"/>
          <w:sz w:val="28"/>
          <w:szCs w:val="28"/>
        </w:rPr>
        <w:t>發生於國外之不良健康影響事件有關資訊。</w:t>
      </w:r>
    </w:p>
    <w:p w14:paraId="2B962B25" w14:textId="77777777" w:rsidR="00C12D18" w:rsidRDefault="00752C84">
      <w:pPr>
        <w:pStyle w:val="Standarduser"/>
        <w:spacing w:line="500" w:lineRule="exact"/>
        <w:ind w:left="2460" w:hanging="588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八、</w:t>
      </w:r>
      <w:r>
        <w:rPr>
          <w:rFonts w:ascii="標楷體" w:eastAsia="標楷體" w:hAnsi="標楷體"/>
          <w:color w:val="000000"/>
          <w:sz w:val="28"/>
          <w:szCs w:val="28"/>
        </w:rPr>
        <w:t>其他必要之監視與管控機制。</w:t>
      </w:r>
    </w:p>
    <w:p w14:paraId="3B01F2E6" w14:textId="77777777" w:rsidR="00C12D18" w:rsidRDefault="00752C84">
      <w:pPr>
        <w:pStyle w:val="Standarduser"/>
        <w:spacing w:line="500" w:lineRule="exact"/>
        <w:ind w:left="1296" w:firstLine="56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前項第一款至第三款之資料、資訊涉有個人資料者，應予去識別化。</w:t>
      </w:r>
    </w:p>
    <w:p w14:paraId="54D02DD5" w14:textId="77777777" w:rsidR="00C12D18" w:rsidRDefault="00752C84">
      <w:pPr>
        <w:pStyle w:val="Standarduser"/>
        <w:spacing w:line="500" w:lineRule="exact"/>
        <w:ind w:left="1296" w:firstLine="56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業者未遵行第一項所定事項，中央主管機關得令其限期改正；屆期未改正者，廢止原核定。</w:t>
      </w:r>
    </w:p>
    <w:p w14:paraId="517B1AC5" w14:textId="77777777" w:rsidR="00C12D18" w:rsidRDefault="00752C84">
      <w:pPr>
        <w:pStyle w:val="Standarduser"/>
        <w:spacing w:line="500" w:lineRule="exact"/>
        <w:ind w:left="1274" w:hanging="1274"/>
        <w:jc w:val="both"/>
      </w:pPr>
      <w:r>
        <w:rPr>
          <w:rFonts w:ascii="標楷體" w:eastAsia="標楷體" w:hAnsi="標楷體"/>
          <w:color w:val="000000"/>
          <w:spacing w:val="210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pacing w:val="210"/>
          <w:sz w:val="28"/>
          <w:szCs w:val="28"/>
        </w:rPr>
        <w:t>七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條　　</w:t>
      </w:r>
      <w:r>
        <w:rPr>
          <w:rFonts w:ascii="標楷體" w:eastAsia="標楷體" w:hAnsi="標楷體"/>
          <w:color w:val="000000"/>
          <w:sz w:val="28"/>
          <w:szCs w:val="28"/>
        </w:rPr>
        <w:t>業者申請產品健康風險評估</w:t>
      </w:r>
      <w:r>
        <w:rPr>
          <w:rFonts w:ascii="標楷體" w:eastAsia="標楷體" w:hAnsi="標楷體" w:cs="標楷體"/>
          <w:color w:val="000000"/>
          <w:sz w:val="28"/>
          <w:szCs w:val="28"/>
        </w:rPr>
        <w:t>審查</w:t>
      </w:r>
      <w:r>
        <w:rPr>
          <w:rFonts w:ascii="標楷體" w:eastAsia="標楷體" w:hAnsi="標楷體"/>
          <w:color w:val="000000"/>
          <w:sz w:val="28"/>
          <w:szCs w:val="28"/>
        </w:rPr>
        <w:t>，應繳納費用；其金額，由中央主管機關定之。</w:t>
      </w:r>
    </w:p>
    <w:p w14:paraId="7ABEE1F6" w14:textId="77777777" w:rsidR="00C12D18" w:rsidRDefault="00752C84">
      <w:pPr>
        <w:pStyle w:val="Standarduser"/>
        <w:spacing w:line="500" w:lineRule="exact"/>
        <w:jc w:val="both"/>
      </w:pPr>
      <w:r>
        <w:rPr>
          <w:rFonts w:ascii="標楷體" w:eastAsia="標楷體" w:hAnsi="標楷體"/>
          <w:color w:val="000000"/>
          <w:spacing w:val="210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pacing w:val="210"/>
          <w:sz w:val="28"/>
          <w:szCs w:val="28"/>
        </w:rPr>
        <w:t>八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條　　本辦法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所需書表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格式，由中央主管機關公告之。</w:t>
      </w:r>
    </w:p>
    <w:p w14:paraId="07EF97E0" w14:textId="77777777" w:rsidR="00C12D18" w:rsidRDefault="00752C84">
      <w:pPr>
        <w:pStyle w:val="Standarduser"/>
        <w:spacing w:line="500" w:lineRule="exact"/>
        <w:ind w:left="1274" w:hanging="1274"/>
        <w:jc w:val="both"/>
      </w:pPr>
      <w:r>
        <w:rPr>
          <w:rFonts w:ascii="標楷體" w:eastAsia="標楷體" w:hAnsi="標楷體"/>
          <w:color w:val="000000"/>
          <w:spacing w:val="210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pacing w:val="210"/>
          <w:sz w:val="28"/>
          <w:szCs w:val="28"/>
        </w:rPr>
        <w:t>九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條　　</w:t>
      </w:r>
      <w:r>
        <w:rPr>
          <w:rFonts w:ascii="標楷體" w:eastAsia="標楷體" w:hAnsi="標楷體"/>
          <w:color w:val="000000"/>
          <w:sz w:val="28"/>
          <w:szCs w:val="28"/>
        </w:rPr>
        <w:t>本辦法所定事項，中央主管機關得委託相關專業機關、機構、法人或團體辦理。</w:t>
      </w:r>
    </w:p>
    <w:p w14:paraId="0DA22972" w14:textId="77777777" w:rsidR="00C12D18" w:rsidRDefault="00752C84">
      <w:pPr>
        <w:pStyle w:val="Standarduser"/>
        <w:spacing w:line="500" w:lineRule="exact"/>
        <w:jc w:val="both"/>
      </w:pPr>
      <w:r>
        <w:rPr>
          <w:rFonts w:ascii="標楷體" w:eastAsia="標楷體" w:hAnsi="標楷體"/>
          <w:color w:val="000000"/>
          <w:spacing w:val="210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pacing w:val="210"/>
          <w:sz w:val="28"/>
          <w:szCs w:val="28"/>
        </w:rPr>
        <w:t>十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條　　</w:t>
      </w:r>
      <w:r>
        <w:rPr>
          <w:rFonts w:eastAsia="標楷體"/>
          <w:color w:val="000000"/>
          <w:sz w:val="28"/>
          <w:szCs w:val="28"/>
          <w:lang w:val="zh-TW"/>
        </w:rPr>
        <w:t>本辦法自</w:t>
      </w:r>
      <w:r>
        <w:rPr>
          <w:rFonts w:eastAsia="標楷體"/>
          <w:color w:val="000000"/>
          <w:kern w:val="0"/>
          <w:sz w:val="28"/>
          <w:szCs w:val="28"/>
        </w:rPr>
        <w:t>中華民國一百十二年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三</w:t>
      </w:r>
      <w:r>
        <w:rPr>
          <w:rFonts w:eastAsia="標楷體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二十二</w:t>
      </w:r>
      <w:r>
        <w:rPr>
          <w:rFonts w:eastAsia="標楷體"/>
          <w:color w:val="000000"/>
          <w:sz w:val="28"/>
          <w:szCs w:val="28"/>
          <w:lang w:val="zh-TW"/>
        </w:rPr>
        <w:t>日施行。</w:t>
      </w:r>
    </w:p>
    <w:sectPr w:rsidR="00C12D18">
      <w:headerReference w:type="default" r:id="rId7"/>
      <w:pgSz w:w="11906" w:h="16838"/>
      <w:pgMar w:top="1418" w:right="1418" w:bottom="1418" w:left="1701" w:header="720" w:footer="720" w:gutter="0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81F9" w14:textId="77777777" w:rsidR="00752C84" w:rsidRDefault="00752C84">
      <w:r>
        <w:separator/>
      </w:r>
    </w:p>
  </w:endnote>
  <w:endnote w:type="continuationSeparator" w:id="0">
    <w:p w14:paraId="031E57C0" w14:textId="77777777" w:rsidR="00752C84" w:rsidRDefault="0075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305E" w14:textId="77777777" w:rsidR="00752C84" w:rsidRDefault="00752C84">
      <w:r>
        <w:rPr>
          <w:color w:val="000000"/>
        </w:rPr>
        <w:separator/>
      </w:r>
    </w:p>
  </w:footnote>
  <w:footnote w:type="continuationSeparator" w:id="0">
    <w:p w14:paraId="2C2A80F8" w14:textId="77777777" w:rsidR="00752C84" w:rsidRDefault="00752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8EF9" w14:textId="77777777" w:rsidR="00AE0F0E" w:rsidRDefault="00752C84">
    <w:pPr>
      <w:pStyle w:val="a7"/>
      <w:jc w:val="right"/>
    </w:pPr>
    <w:r>
      <w:rPr>
        <w:color w:val="000000"/>
        <w:sz w:val="24"/>
        <w:szCs w:val="24"/>
        <w:lang w:val="zh-TW"/>
      </w:rPr>
      <w:t xml:space="preserve"> </w:t>
    </w:r>
  </w:p>
  <w:p w14:paraId="317ACA30" w14:textId="77777777" w:rsidR="00AE0F0E" w:rsidRDefault="00752C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FAA"/>
    <w:multiLevelType w:val="multilevel"/>
    <w:tmpl w:val="9DE2669E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0D45BD"/>
    <w:multiLevelType w:val="multilevel"/>
    <w:tmpl w:val="3638618A"/>
    <w:styleLink w:val="WWNum22"/>
    <w:lvl w:ilvl="0">
      <w:start w:val="1"/>
      <w:numFmt w:val="japaneseCounting"/>
      <w:lvlText w:val="%1、"/>
      <w:lvlJc w:val="left"/>
      <w:pPr>
        <w:ind w:left="1032" w:hanging="72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039B7E5E"/>
    <w:multiLevelType w:val="multilevel"/>
    <w:tmpl w:val="7DB062D8"/>
    <w:styleLink w:val="WWNum1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B04B0D"/>
    <w:multiLevelType w:val="multilevel"/>
    <w:tmpl w:val="E436840E"/>
    <w:styleLink w:val="WW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24409F"/>
    <w:multiLevelType w:val="multilevel"/>
    <w:tmpl w:val="A816DB76"/>
    <w:styleLink w:val="WWNum7"/>
    <w:lvl w:ilvl="0">
      <w:start w:val="1"/>
      <w:numFmt w:val="japaneseCounting"/>
      <w:lvlText w:val="%1、"/>
      <w:lvlJc w:val="left"/>
      <w:pPr>
        <w:ind w:left="1032" w:hanging="720"/>
      </w:p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5" w15:restartNumberingAfterBreak="0">
    <w:nsid w:val="10BA57D7"/>
    <w:multiLevelType w:val="multilevel"/>
    <w:tmpl w:val="54689DFC"/>
    <w:styleLink w:val="WWNum9"/>
    <w:lvl w:ilvl="0">
      <w:start w:val="1"/>
      <w:numFmt w:val="japaneseCounting"/>
      <w:lvlText w:val="%1、"/>
      <w:lvlJc w:val="left"/>
      <w:pPr>
        <w:ind w:left="216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1203D6A"/>
    <w:multiLevelType w:val="multilevel"/>
    <w:tmpl w:val="92183CA4"/>
    <w:styleLink w:val="WW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293821"/>
    <w:multiLevelType w:val="multilevel"/>
    <w:tmpl w:val="F24AC044"/>
    <w:styleLink w:val="WW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77306"/>
    <w:multiLevelType w:val="multilevel"/>
    <w:tmpl w:val="FBA6B056"/>
    <w:styleLink w:val="WWNum1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C669D6"/>
    <w:multiLevelType w:val="multilevel"/>
    <w:tmpl w:val="1460EF6A"/>
    <w:styleLink w:val="WWNum27"/>
    <w:lvl w:ilvl="0">
      <w:start w:val="1"/>
      <w:numFmt w:val="decimal"/>
      <w:lvlText w:val="%1、"/>
      <w:lvlJc w:val="left"/>
      <w:pPr>
        <w:ind w:left="780" w:hanging="360"/>
      </w:p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25E45C4B"/>
    <w:multiLevelType w:val="multilevel"/>
    <w:tmpl w:val="CFBE2968"/>
    <w:styleLink w:val="WWNum28"/>
    <w:lvl w:ilvl="0">
      <w:start w:val="1"/>
      <w:numFmt w:val="decimal"/>
      <w:lvlText w:val="%1、"/>
      <w:lvlJc w:val="left"/>
      <w:pPr>
        <w:ind w:left="870" w:hanging="45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2BDB2559"/>
    <w:multiLevelType w:val="multilevel"/>
    <w:tmpl w:val="1910EB16"/>
    <w:styleLink w:val="WWNum12"/>
    <w:lvl w:ilvl="0">
      <w:start w:val="1"/>
      <w:numFmt w:val="japaneseCounting"/>
      <w:lvlText w:val="%1、"/>
      <w:lvlJc w:val="left"/>
      <w:pPr>
        <w:ind w:left="994" w:hanging="720"/>
      </w:pPr>
    </w:lvl>
    <w:lvl w:ilvl="1">
      <w:start w:val="1"/>
      <w:numFmt w:val="ideographTraditional"/>
      <w:lvlText w:val="%2、"/>
      <w:lvlJc w:val="left"/>
      <w:pPr>
        <w:ind w:left="1234" w:hanging="480"/>
      </w:pPr>
    </w:lvl>
    <w:lvl w:ilvl="2">
      <w:start w:val="1"/>
      <w:numFmt w:val="lowerRoman"/>
      <w:lvlText w:val="%3."/>
      <w:lvlJc w:val="right"/>
      <w:pPr>
        <w:ind w:left="1714" w:hanging="480"/>
      </w:pPr>
    </w:lvl>
    <w:lvl w:ilvl="3">
      <w:start w:val="1"/>
      <w:numFmt w:val="decimal"/>
      <w:lvlText w:val="%4."/>
      <w:lvlJc w:val="left"/>
      <w:pPr>
        <w:ind w:left="2194" w:hanging="480"/>
      </w:pPr>
    </w:lvl>
    <w:lvl w:ilvl="4">
      <w:start w:val="1"/>
      <w:numFmt w:val="ideographTraditional"/>
      <w:lvlText w:val="%5、"/>
      <w:lvlJc w:val="left"/>
      <w:pPr>
        <w:ind w:left="2674" w:hanging="480"/>
      </w:pPr>
    </w:lvl>
    <w:lvl w:ilvl="5">
      <w:start w:val="1"/>
      <w:numFmt w:val="lowerRoman"/>
      <w:lvlText w:val="%6."/>
      <w:lvlJc w:val="right"/>
      <w:pPr>
        <w:ind w:left="3154" w:hanging="480"/>
      </w:pPr>
    </w:lvl>
    <w:lvl w:ilvl="6">
      <w:start w:val="1"/>
      <w:numFmt w:val="decimal"/>
      <w:lvlText w:val="%7."/>
      <w:lvlJc w:val="left"/>
      <w:pPr>
        <w:ind w:left="3634" w:hanging="480"/>
      </w:pPr>
    </w:lvl>
    <w:lvl w:ilvl="7">
      <w:start w:val="1"/>
      <w:numFmt w:val="ideographTraditional"/>
      <w:lvlText w:val="%8、"/>
      <w:lvlJc w:val="left"/>
      <w:pPr>
        <w:ind w:left="4114" w:hanging="480"/>
      </w:pPr>
    </w:lvl>
    <w:lvl w:ilvl="8">
      <w:start w:val="1"/>
      <w:numFmt w:val="lowerRoman"/>
      <w:lvlText w:val="%9."/>
      <w:lvlJc w:val="right"/>
      <w:pPr>
        <w:ind w:left="4594" w:hanging="480"/>
      </w:pPr>
    </w:lvl>
  </w:abstractNum>
  <w:abstractNum w:abstractNumId="12" w15:restartNumberingAfterBreak="0">
    <w:nsid w:val="2C9165EA"/>
    <w:multiLevelType w:val="multilevel"/>
    <w:tmpl w:val="1CD6963C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055E0E"/>
    <w:multiLevelType w:val="multilevel"/>
    <w:tmpl w:val="206063AC"/>
    <w:styleLink w:val="WWNum11"/>
    <w:lvl w:ilvl="0">
      <w:start w:val="1"/>
      <w:numFmt w:val="japaneseCounting"/>
      <w:lvlText w:val="%1、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217EF"/>
    <w:multiLevelType w:val="multilevel"/>
    <w:tmpl w:val="D548BB5E"/>
    <w:styleLink w:val="WWNum23"/>
    <w:lvl w:ilvl="0">
      <w:start w:val="1"/>
      <w:numFmt w:val="japaneseCounting"/>
      <w:lvlText w:val="%1、"/>
      <w:lvlJc w:val="left"/>
      <w:pPr>
        <w:ind w:left="1032" w:hanging="72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15" w15:restartNumberingAfterBreak="0">
    <w:nsid w:val="32800AA9"/>
    <w:multiLevelType w:val="multilevel"/>
    <w:tmpl w:val="464C4D5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0CB7F9B"/>
    <w:multiLevelType w:val="multilevel"/>
    <w:tmpl w:val="3FEA67F8"/>
    <w:styleLink w:val="WWNum6"/>
    <w:lvl w:ilvl="0">
      <w:start w:val="1"/>
      <w:numFmt w:val="japaneseCounting"/>
      <w:lvlText w:val="%1、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B7543"/>
    <w:multiLevelType w:val="multilevel"/>
    <w:tmpl w:val="9C0E75EE"/>
    <w:styleLink w:val="WWNum25"/>
    <w:lvl w:ilvl="0">
      <w:start w:val="1"/>
      <w:numFmt w:val="japaneseCounting"/>
      <w:lvlText w:val="（%1）"/>
      <w:lvlJc w:val="left"/>
      <w:pPr>
        <w:ind w:left="780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020" w:hanging="480"/>
      </w:pPr>
    </w:lvl>
    <w:lvl w:ilvl="2">
      <w:start w:val="1"/>
      <w:numFmt w:val="lowerRoman"/>
      <w:lvlText w:val="%3."/>
      <w:lvlJc w:val="right"/>
      <w:pPr>
        <w:ind w:left="1500" w:hanging="480"/>
      </w:pPr>
    </w:lvl>
    <w:lvl w:ilvl="3">
      <w:start w:val="1"/>
      <w:numFmt w:val="decimal"/>
      <w:lvlText w:val="%4."/>
      <w:lvlJc w:val="left"/>
      <w:pPr>
        <w:ind w:left="1980" w:hanging="480"/>
      </w:pPr>
    </w:lvl>
    <w:lvl w:ilvl="4">
      <w:start w:val="1"/>
      <w:numFmt w:val="ideographTraditional"/>
      <w:lvlText w:val="%5、"/>
      <w:lvlJc w:val="left"/>
      <w:pPr>
        <w:ind w:left="2460" w:hanging="480"/>
      </w:pPr>
    </w:lvl>
    <w:lvl w:ilvl="5">
      <w:start w:val="1"/>
      <w:numFmt w:val="lowerRoman"/>
      <w:lvlText w:val="%6."/>
      <w:lvlJc w:val="right"/>
      <w:pPr>
        <w:ind w:left="2940" w:hanging="480"/>
      </w:pPr>
    </w:lvl>
    <w:lvl w:ilvl="6">
      <w:start w:val="1"/>
      <w:numFmt w:val="decimal"/>
      <w:lvlText w:val="%7."/>
      <w:lvlJc w:val="left"/>
      <w:pPr>
        <w:ind w:left="3420" w:hanging="480"/>
      </w:pPr>
    </w:lvl>
    <w:lvl w:ilvl="7">
      <w:start w:val="1"/>
      <w:numFmt w:val="ideographTraditional"/>
      <w:lvlText w:val="%8、"/>
      <w:lvlJc w:val="left"/>
      <w:pPr>
        <w:ind w:left="3900" w:hanging="480"/>
      </w:pPr>
    </w:lvl>
    <w:lvl w:ilvl="8">
      <w:start w:val="1"/>
      <w:numFmt w:val="lowerRoman"/>
      <w:lvlText w:val="%9."/>
      <w:lvlJc w:val="right"/>
      <w:pPr>
        <w:ind w:left="4380" w:hanging="480"/>
      </w:pPr>
    </w:lvl>
  </w:abstractNum>
  <w:abstractNum w:abstractNumId="18" w15:restartNumberingAfterBreak="0">
    <w:nsid w:val="43E443AA"/>
    <w:multiLevelType w:val="multilevel"/>
    <w:tmpl w:val="4276F61E"/>
    <w:styleLink w:val="WWNum24"/>
    <w:lvl w:ilvl="0">
      <w:start w:val="1"/>
      <w:numFmt w:val="japaneseCounting"/>
      <w:lvlText w:val="%1、"/>
      <w:lvlJc w:val="left"/>
      <w:pPr>
        <w:ind w:left="480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00701C"/>
    <w:multiLevelType w:val="multilevel"/>
    <w:tmpl w:val="60D2BB60"/>
    <w:styleLink w:val="WWNum16"/>
    <w:lvl w:ilvl="0">
      <w:start w:val="1"/>
      <w:numFmt w:val="japaneseCounting"/>
      <w:lvlText w:val="%1、"/>
      <w:lvlJc w:val="left"/>
      <w:pPr>
        <w:ind w:left="1032" w:hanging="72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20" w15:restartNumberingAfterBreak="0">
    <w:nsid w:val="47B65FB7"/>
    <w:multiLevelType w:val="multilevel"/>
    <w:tmpl w:val="7552246E"/>
    <w:styleLink w:val="WW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926D0A"/>
    <w:multiLevelType w:val="multilevel"/>
    <w:tmpl w:val="E65E4930"/>
    <w:styleLink w:val="WWNum26"/>
    <w:lvl w:ilvl="0">
      <w:start w:val="1"/>
      <w:numFmt w:val="decimal"/>
      <w:lvlText w:val="%1、"/>
      <w:lvlJc w:val="left"/>
      <w:pPr>
        <w:ind w:left="870" w:hanging="45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22" w15:restartNumberingAfterBreak="0">
    <w:nsid w:val="508701F6"/>
    <w:multiLevelType w:val="multilevel"/>
    <w:tmpl w:val="F8BA793C"/>
    <w:styleLink w:val="WWNum15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51D068F3"/>
    <w:multiLevelType w:val="multilevel"/>
    <w:tmpl w:val="F5EC03A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4AC1E91"/>
    <w:multiLevelType w:val="multilevel"/>
    <w:tmpl w:val="BBD0D0A6"/>
    <w:styleLink w:val="WWNum4"/>
    <w:lvl w:ilvl="0">
      <w:start w:val="1"/>
      <w:numFmt w:val="japaneseCounting"/>
      <w:lvlText w:val="%1、"/>
      <w:lvlJc w:val="left"/>
      <w:pPr>
        <w:ind w:left="-392" w:hanging="480"/>
      </w:pPr>
    </w:lvl>
    <w:lvl w:ilvl="1">
      <w:start w:val="1"/>
      <w:numFmt w:val="ideographTraditional"/>
      <w:lvlText w:val="%2、"/>
      <w:lvlJc w:val="left"/>
      <w:pPr>
        <w:ind w:left="88" w:hanging="480"/>
      </w:pPr>
    </w:lvl>
    <w:lvl w:ilvl="2">
      <w:start w:val="1"/>
      <w:numFmt w:val="lowerRoman"/>
      <w:lvlText w:val="%3."/>
      <w:lvlJc w:val="right"/>
      <w:pPr>
        <w:ind w:left="568" w:hanging="480"/>
      </w:pPr>
    </w:lvl>
    <w:lvl w:ilvl="3">
      <w:start w:val="1"/>
      <w:numFmt w:val="decimal"/>
      <w:lvlText w:val="%4."/>
      <w:lvlJc w:val="left"/>
      <w:pPr>
        <w:ind w:left="1048" w:hanging="480"/>
      </w:pPr>
    </w:lvl>
    <w:lvl w:ilvl="4">
      <w:start w:val="1"/>
      <w:numFmt w:val="ideographTraditional"/>
      <w:lvlText w:val="%5、"/>
      <w:lvlJc w:val="left"/>
      <w:pPr>
        <w:ind w:left="1528" w:hanging="480"/>
      </w:pPr>
    </w:lvl>
    <w:lvl w:ilvl="5">
      <w:start w:val="1"/>
      <w:numFmt w:val="lowerRoman"/>
      <w:lvlText w:val="%6."/>
      <w:lvlJc w:val="right"/>
      <w:pPr>
        <w:ind w:left="2008" w:hanging="480"/>
      </w:pPr>
    </w:lvl>
    <w:lvl w:ilvl="6">
      <w:start w:val="1"/>
      <w:numFmt w:val="decimal"/>
      <w:lvlText w:val="%7."/>
      <w:lvlJc w:val="left"/>
      <w:pPr>
        <w:ind w:left="2488" w:hanging="480"/>
      </w:pPr>
    </w:lvl>
    <w:lvl w:ilvl="7">
      <w:start w:val="1"/>
      <w:numFmt w:val="ideographTraditional"/>
      <w:lvlText w:val="%8、"/>
      <w:lvlJc w:val="left"/>
      <w:pPr>
        <w:ind w:left="2968" w:hanging="480"/>
      </w:pPr>
    </w:lvl>
    <w:lvl w:ilvl="8">
      <w:start w:val="1"/>
      <w:numFmt w:val="lowerRoman"/>
      <w:lvlText w:val="%9."/>
      <w:lvlJc w:val="right"/>
      <w:pPr>
        <w:ind w:left="3448" w:hanging="480"/>
      </w:pPr>
    </w:lvl>
  </w:abstractNum>
  <w:abstractNum w:abstractNumId="25" w15:restartNumberingAfterBreak="0">
    <w:nsid w:val="645146C6"/>
    <w:multiLevelType w:val="multilevel"/>
    <w:tmpl w:val="CD4EC92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4E8728A"/>
    <w:multiLevelType w:val="multilevel"/>
    <w:tmpl w:val="B902250A"/>
    <w:styleLink w:val="WW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892871"/>
    <w:multiLevelType w:val="multilevel"/>
    <w:tmpl w:val="5A526054"/>
    <w:styleLink w:val="WWNum20"/>
    <w:lvl w:ilvl="0">
      <w:start w:val="1"/>
      <w:numFmt w:val="japaneseCounting"/>
      <w:lvlText w:val="%1、"/>
      <w:lvlJc w:val="left"/>
      <w:pPr>
        <w:ind w:left="500" w:hanging="5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452D34"/>
    <w:multiLevelType w:val="multilevel"/>
    <w:tmpl w:val="9EC6A510"/>
    <w:styleLink w:val="WWNum21"/>
    <w:lvl w:ilvl="0">
      <w:start w:val="1"/>
      <w:numFmt w:val="japaneseCounting"/>
      <w:lvlText w:val="%1、"/>
      <w:lvlJc w:val="left"/>
      <w:pPr>
        <w:ind w:left="500" w:hanging="5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730F07"/>
    <w:multiLevelType w:val="multilevel"/>
    <w:tmpl w:val="3FAE59F2"/>
    <w:styleLink w:val="WWNum8"/>
    <w:lvl w:ilvl="0">
      <w:start w:val="1"/>
      <w:numFmt w:val="japaneseCounting"/>
      <w:lvlText w:val="%1、"/>
      <w:lvlJc w:val="left"/>
      <w:pPr>
        <w:ind w:left="216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772634D6"/>
    <w:multiLevelType w:val="multilevel"/>
    <w:tmpl w:val="84E00B8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102D6"/>
    <w:multiLevelType w:val="multilevel"/>
    <w:tmpl w:val="E2B854DC"/>
    <w:styleLink w:val="WWNum1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0"/>
  </w:num>
  <w:num w:numId="5">
    <w:abstractNumId w:val="6"/>
  </w:num>
  <w:num w:numId="6">
    <w:abstractNumId w:val="26"/>
  </w:num>
  <w:num w:numId="7">
    <w:abstractNumId w:val="7"/>
  </w:num>
  <w:num w:numId="8">
    <w:abstractNumId w:val="24"/>
  </w:num>
  <w:num w:numId="9">
    <w:abstractNumId w:val="3"/>
  </w:num>
  <w:num w:numId="10">
    <w:abstractNumId w:val="16"/>
  </w:num>
  <w:num w:numId="11">
    <w:abstractNumId w:val="4"/>
  </w:num>
  <w:num w:numId="12">
    <w:abstractNumId w:val="29"/>
  </w:num>
  <w:num w:numId="13">
    <w:abstractNumId w:val="5"/>
  </w:num>
  <w:num w:numId="14">
    <w:abstractNumId w:val="8"/>
  </w:num>
  <w:num w:numId="15">
    <w:abstractNumId w:val="13"/>
  </w:num>
  <w:num w:numId="16">
    <w:abstractNumId w:val="11"/>
  </w:num>
  <w:num w:numId="17">
    <w:abstractNumId w:val="12"/>
  </w:num>
  <w:num w:numId="18">
    <w:abstractNumId w:val="30"/>
  </w:num>
  <w:num w:numId="19">
    <w:abstractNumId w:val="22"/>
  </w:num>
  <w:num w:numId="20">
    <w:abstractNumId w:val="19"/>
  </w:num>
  <w:num w:numId="21">
    <w:abstractNumId w:val="2"/>
  </w:num>
  <w:num w:numId="22">
    <w:abstractNumId w:val="20"/>
  </w:num>
  <w:num w:numId="23">
    <w:abstractNumId w:val="31"/>
  </w:num>
  <w:num w:numId="24">
    <w:abstractNumId w:val="27"/>
  </w:num>
  <w:num w:numId="25">
    <w:abstractNumId w:val="28"/>
  </w:num>
  <w:num w:numId="26">
    <w:abstractNumId w:val="1"/>
  </w:num>
  <w:num w:numId="27">
    <w:abstractNumId w:val="14"/>
  </w:num>
  <w:num w:numId="28">
    <w:abstractNumId w:val="18"/>
  </w:num>
  <w:num w:numId="29">
    <w:abstractNumId w:val="17"/>
  </w:num>
  <w:num w:numId="30">
    <w:abstractNumId w:val="21"/>
  </w:num>
  <w:num w:numId="31">
    <w:abstractNumId w:val="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2D18"/>
    <w:rsid w:val="00752C84"/>
    <w:rsid w:val="00C12D18"/>
    <w:rsid w:val="00D3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ED74"/>
  <w15:docId w15:val="{BD7CD660-BD01-476C-9296-D77865BE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Mangal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a5">
    <w:name w:val="Balloon Text"/>
    <w:basedOn w:val="Standarduser"/>
    <w:rPr>
      <w:rFonts w:ascii="Arial" w:eastAsia="Arial" w:hAnsi="Arial" w:cs="Arial"/>
      <w:sz w:val="18"/>
      <w:szCs w:val="18"/>
    </w:rPr>
  </w:style>
  <w:style w:type="paragraph" w:customStyle="1" w:styleId="1">
    <w:name w:val="1."/>
    <w:basedOn w:val="Standarduser"/>
    <w:rPr>
      <w:rFonts w:ascii="Arial" w:eastAsia="標楷體" w:hAnsi="Arial" w:cs="Arial"/>
      <w:b/>
      <w:bCs/>
      <w:sz w:val="28"/>
      <w:szCs w:val="28"/>
    </w:rPr>
  </w:style>
  <w:style w:type="paragraph" w:customStyle="1" w:styleId="Textbodyindentuser">
    <w:name w:val="Text body indent (user)"/>
    <w:basedOn w:val="Standarduser"/>
    <w:pPr>
      <w:spacing w:line="700" w:lineRule="exact"/>
      <w:ind w:firstLine="574"/>
      <w:jc w:val="both"/>
    </w:pPr>
    <w:rPr>
      <w:rFonts w:ascii="標楷體" w:eastAsia="標楷體" w:hAnsi="標楷體" w:cs="標楷體"/>
      <w:sz w:val="28"/>
    </w:rPr>
  </w:style>
  <w:style w:type="paragraph" w:customStyle="1" w:styleId="HeaderandFooter">
    <w:name w:val="Header and Footer"/>
    <w:basedOn w:val="Standard"/>
  </w:style>
  <w:style w:type="paragraph" w:styleId="a6">
    <w:name w:val="footer"/>
    <w:basedOn w:val="Standard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use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lang w:bidi="hi-IN"/>
    </w:rPr>
  </w:style>
  <w:style w:type="paragraph" w:customStyle="1" w:styleId="014">
    <w:name w:val="014"/>
    <w:basedOn w:val="Standarduser"/>
    <w:pPr>
      <w:widowControl/>
    </w:pPr>
    <w:rPr>
      <w:rFonts w:ascii="新細明體, PMingLiU" w:hAnsi="新細明體, PMingLiU" w:cs="新細明體, PMingLiU"/>
      <w:lang w:bidi="hi-IN"/>
    </w:rPr>
  </w:style>
  <w:style w:type="paragraph" w:customStyle="1" w:styleId="0221">
    <w:name w:val="0221"/>
    <w:basedOn w:val="Standarduser"/>
    <w:pPr>
      <w:widowControl/>
    </w:pPr>
    <w:rPr>
      <w:rFonts w:ascii="新細明體, PMingLiU" w:hAnsi="新細明體, PMingLiU" w:cs="新細明體, PMingLiU"/>
      <w:lang w:bidi="hi-IN"/>
    </w:rPr>
  </w:style>
  <w:style w:type="paragraph" w:styleId="a7">
    <w:name w:val="header"/>
    <w:basedOn w:val="Standard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MSGENFONTSTYLENAMETEMPLATEROLEMSGENFONTSTYLENAMEBYROLETEXT">
    <w:name w:val="MSG_EN_FONT_STYLE_NAME_TEMPLATE_ROLE MSG_EN_FONT_STYLE_NAME_BY_ROLE_TEXT"/>
    <w:basedOn w:val="Standarduser"/>
    <w:pPr>
      <w:spacing w:line="461" w:lineRule="exact"/>
      <w:jc w:val="both"/>
    </w:pPr>
    <w:rPr>
      <w:rFonts w:ascii="新細明體, PMingLiU" w:hAnsi="新細明體, PMingLiU" w:cs="新細明體, PMingLiU"/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List Paragraph"/>
    <w:basedOn w:val="Standard"/>
    <w:pPr>
      <w:ind w:left="720"/>
    </w:pPr>
    <w:rPr>
      <w:szCs w:val="21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9">
    <w:name w:val="page number"/>
    <w:basedOn w:val="a0"/>
  </w:style>
  <w:style w:type="character" w:customStyle="1" w:styleId="aa">
    <w:name w:val="頁尾 字元"/>
    <w:rPr>
      <w:kern w:val="3"/>
    </w:rPr>
  </w:style>
  <w:style w:type="character" w:customStyle="1" w:styleId="MSGENFONTSTYLENAMETEMPLATEROLEMSGENFONTSTYLENAMEBYROLETEXT0">
    <w:name w:val="MSG_EN_FONT_STYLE_NAME_TEMPLATE_ROLE MSG_EN_FONT_STYLE_NAME_BY_ROLE_TEXT_"/>
    <w:rPr>
      <w:rFonts w:ascii="新細明體, PMingLiU" w:eastAsia="新細明體, PMingLiU" w:hAnsi="新細明體, PMingLiU" w:cs="新細明體, PMingLiU"/>
      <w:shd w:val="clear" w:color="auto" w:fill="FFFFFF"/>
    </w:rPr>
  </w:style>
  <w:style w:type="character" w:customStyle="1" w:styleId="ab">
    <w:name w:val="頁首 字元"/>
    <w:basedOn w:val="a0"/>
    <w:rPr>
      <w:rFonts w:ascii="Times New Roman" w:eastAsia="新細明體, PMingLiU" w:hAnsi="Times New Roman" w:cs="Times New Roman"/>
      <w:sz w:val="20"/>
      <w:szCs w:val="20"/>
      <w:lang w:bidi="ar-SA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lang w:val="en-US"/>
    </w:rPr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lang w:val="en-US"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  <w:rPr>
      <w:b w:val="0"/>
      <w:color w:val="000000"/>
    </w:rPr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</w:style>
  <w:style w:type="character" w:customStyle="1" w:styleId="ListLabel146">
    <w:name w:val="ListLabel 146"/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</w:style>
  <w:style w:type="character" w:customStyle="1" w:styleId="ListLabel173">
    <w:name w:val="ListLabel 173"/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customStyle="1" w:styleId="ListLabel190">
    <w:name w:val="ListLabel 190"/>
    <w:rPr>
      <w:b w:val="0"/>
      <w:color w:val="000000"/>
    </w:rPr>
  </w:style>
  <w:style w:type="character" w:customStyle="1" w:styleId="ListLabel191">
    <w:name w:val="ListLabel 191"/>
  </w:style>
  <w:style w:type="character" w:customStyle="1" w:styleId="ListLabel192">
    <w:name w:val="ListLabel 192"/>
  </w:style>
  <w:style w:type="character" w:customStyle="1" w:styleId="ListLabel193">
    <w:name w:val="ListLabel 193"/>
  </w:style>
  <w:style w:type="character" w:customStyle="1" w:styleId="ListLabel194">
    <w:name w:val="ListLabel 194"/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</w:style>
  <w:style w:type="character" w:customStyle="1" w:styleId="ListLabel198">
    <w:name w:val="ListLabel 198"/>
  </w:style>
  <w:style w:type="character" w:customStyle="1" w:styleId="ListLabel199">
    <w:name w:val="ListLabel 199"/>
    <w:rPr>
      <w:b w:val="0"/>
      <w:color w:val="000000"/>
    </w:rPr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  <w:rPr>
      <w:color w:val="FF0000"/>
    </w:rPr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  <w:rPr>
      <w:color w:val="auto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color w:val="auto"/>
    </w:rPr>
  </w:style>
  <w:style w:type="character" w:customStyle="1" w:styleId="ListLabel227">
    <w:name w:val="ListLabel 227"/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</w:style>
  <w:style w:type="character" w:customStyle="1" w:styleId="ListLabel236">
    <w:name w:val="ListLabel 236"/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  <w:rPr>
      <w:color w:val="auto"/>
    </w:rPr>
  </w:style>
  <w:style w:type="character" w:customStyle="1" w:styleId="ListLabel245">
    <w:name w:val="ListLabel 245"/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16">
    <w:name w:val="WW8Num16"/>
    <w:basedOn w:val="a2"/>
    <w:pPr>
      <w:numPr>
        <w:numId w:val="4"/>
      </w:numPr>
    </w:pPr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  <w:style w:type="numbering" w:customStyle="1" w:styleId="WWNum6">
    <w:name w:val="WWNum6"/>
    <w:basedOn w:val="a2"/>
    <w:pPr>
      <w:numPr>
        <w:numId w:val="10"/>
      </w:numPr>
    </w:pPr>
  </w:style>
  <w:style w:type="numbering" w:customStyle="1" w:styleId="WWNum7">
    <w:name w:val="WWNum7"/>
    <w:basedOn w:val="a2"/>
    <w:pPr>
      <w:numPr>
        <w:numId w:val="11"/>
      </w:numPr>
    </w:pPr>
  </w:style>
  <w:style w:type="numbering" w:customStyle="1" w:styleId="WWNum8">
    <w:name w:val="WWNum8"/>
    <w:basedOn w:val="a2"/>
    <w:pPr>
      <w:numPr>
        <w:numId w:val="12"/>
      </w:numPr>
    </w:pPr>
  </w:style>
  <w:style w:type="numbering" w:customStyle="1" w:styleId="WWNum9">
    <w:name w:val="WWNum9"/>
    <w:basedOn w:val="a2"/>
    <w:pPr>
      <w:numPr>
        <w:numId w:val="13"/>
      </w:numPr>
    </w:pPr>
  </w:style>
  <w:style w:type="numbering" w:customStyle="1" w:styleId="WWNum10">
    <w:name w:val="WWNum10"/>
    <w:basedOn w:val="a2"/>
    <w:pPr>
      <w:numPr>
        <w:numId w:val="14"/>
      </w:numPr>
    </w:pPr>
  </w:style>
  <w:style w:type="numbering" w:customStyle="1" w:styleId="WWNum11">
    <w:name w:val="WWNum11"/>
    <w:basedOn w:val="a2"/>
    <w:pPr>
      <w:numPr>
        <w:numId w:val="15"/>
      </w:numPr>
    </w:pPr>
  </w:style>
  <w:style w:type="numbering" w:customStyle="1" w:styleId="WWNum12">
    <w:name w:val="WWNum12"/>
    <w:basedOn w:val="a2"/>
    <w:pPr>
      <w:numPr>
        <w:numId w:val="16"/>
      </w:numPr>
    </w:pPr>
  </w:style>
  <w:style w:type="numbering" w:customStyle="1" w:styleId="WWNum13">
    <w:name w:val="WWNum13"/>
    <w:basedOn w:val="a2"/>
    <w:pPr>
      <w:numPr>
        <w:numId w:val="17"/>
      </w:numPr>
    </w:pPr>
  </w:style>
  <w:style w:type="numbering" w:customStyle="1" w:styleId="WWNum14">
    <w:name w:val="WWNum14"/>
    <w:basedOn w:val="a2"/>
    <w:pPr>
      <w:numPr>
        <w:numId w:val="18"/>
      </w:numPr>
    </w:pPr>
  </w:style>
  <w:style w:type="numbering" w:customStyle="1" w:styleId="WWNum15">
    <w:name w:val="WWNum15"/>
    <w:basedOn w:val="a2"/>
    <w:pPr>
      <w:numPr>
        <w:numId w:val="19"/>
      </w:numPr>
    </w:pPr>
  </w:style>
  <w:style w:type="numbering" w:customStyle="1" w:styleId="WWNum16">
    <w:name w:val="WWNum16"/>
    <w:basedOn w:val="a2"/>
    <w:pPr>
      <w:numPr>
        <w:numId w:val="20"/>
      </w:numPr>
    </w:pPr>
  </w:style>
  <w:style w:type="numbering" w:customStyle="1" w:styleId="WWNum17">
    <w:name w:val="WWNum17"/>
    <w:basedOn w:val="a2"/>
    <w:pPr>
      <w:numPr>
        <w:numId w:val="21"/>
      </w:numPr>
    </w:pPr>
  </w:style>
  <w:style w:type="numbering" w:customStyle="1" w:styleId="WWNum18">
    <w:name w:val="WWNum18"/>
    <w:basedOn w:val="a2"/>
    <w:pPr>
      <w:numPr>
        <w:numId w:val="22"/>
      </w:numPr>
    </w:pPr>
  </w:style>
  <w:style w:type="numbering" w:customStyle="1" w:styleId="WWNum19">
    <w:name w:val="WWNum19"/>
    <w:basedOn w:val="a2"/>
    <w:pPr>
      <w:numPr>
        <w:numId w:val="23"/>
      </w:numPr>
    </w:pPr>
  </w:style>
  <w:style w:type="numbering" w:customStyle="1" w:styleId="WWNum20">
    <w:name w:val="WWNum20"/>
    <w:basedOn w:val="a2"/>
    <w:pPr>
      <w:numPr>
        <w:numId w:val="24"/>
      </w:numPr>
    </w:pPr>
  </w:style>
  <w:style w:type="numbering" w:customStyle="1" w:styleId="WWNum21">
    <w:name w:val="WWNum21"/>
    <w:basedOn w:val="a2"/>
    <w:pPr>
      <w:numPr>
        <w:numId w:val="25"/>
      </w:numPr>
    </w:pPr>
  </w:style>
  <w:style w:type="numbering" w:customStyle="1" w:styleId="WWNum22">
    <w:name w:val="WWNum22"/>
    <w:basedOn w:val="a2"/>
    <w:pPr>
      <w:numPr>
        <w:numId w:val="26"/>
      </w:numPr>
    </w:pPr>
  </w:style>
  <w:style w:type="numbering" w:customStyle="1" w:styleId="WWNum23">
    <w:name w:val="WWNum23"/>
    <w:basedOn w:val="a2"/>
    <w:pPr>
      <w:numPr>
        <w:numId w:val="27"/>
      </w:numPr>
    </w:pPr>
  </w:style>
  <w:style w:type="numbering" w:customStyle="1" w:styleId="WWNum24">
    <w:name w:val="WWNum24"/>
    <w:basedOn w:val="a2"/>
    <w:pPr>
      <w:numPr>
        <w:numId w:val="28"/>
      </w:numPr>
    </w:pPr>
  </w:style>
  <w:style w:type="numbering" w:customStyle="1" w:styleId="WWNum25">
    <w:name w:val="WWNum25"/>
    <w:basedOn w:val="a2"/>
    <w:pPr>
      <w:numPr>
        <w:numId w:val="29"/>
      </w:numPr>
    </w:pPr>
  </w:style>
  <w:style w:type="numbering" w:customStyle="1" w:styleId="WWNum26">
    <w:name w:val="WWNum26"/>
    <w:basedOn w:val="a2"/>
    <w:pPr>
      <w:numPr>
        <w:numId w:val="30"/>
      </w:numPr>
    </w:pPr>
  </w:style>
  <w:style w:type="numbering" w:customStyle="1" w:styleId="WWNum27">
    <w:name w:val="WWNum27"/>
    <w:basedOn w:val="a2"/>
    <w:pPr>
      <w:numPr>
        <w:numId w:val="31"/>
      </w:numPr>
    </w:pPr>
  </w:style>
  <w:style w:type="numbering" w:customStyle="1" w:styleId="WWNum28">
    <w:name w:val="WWNum28"/>
    <w:basedOn w:val="a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菸品健康福利捐分配及運作辦法第四條、第五條修正草案對照表</dc:title>
  <dc:creator>國民健康局</dc:creator>
  <cp:keywords>菸品尼古丁焦油含量檢測</cp:keywords>
  <cp:lastModifiedBy>林意玲</cp:lastModifiedBy>
  <cp:revision>2</cp:revision>
  <cp:lastPrinted>2023-03-16T05:16:00Z</cp:lastPrinted>
  <dcterms:created xsi:type="dcterms:W3CDTF">2023-05-11T10:17:00Z</dcterms:created>
  <dcterms:modified xsi:type="dcterms:W3CDTF">2023-05-11T10:17:00Z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