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18DE" w14:textId="77777777" w:rsidR="00CD6AA2" w:rsidRDefault="00646EC8">
      <w:pPr>
        <w:pStyle w:val="Standard"/>
        <w:spacing w:line="52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戒菸教育實施辦法修正條文</w:t>
      </w:r>
    </w:p>
    <w:p w14:paraId="6AF7C4E1" w14:textId="77777777" w:rsidR="00CD6AA2" w:rsidRDefault="00646EC8">
      <w:pPr>
        <w:pStyle w:val="Standard"/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bookmarkStart w:id="0" w:name="_Hlk128511810"/>
      <w:r>
        <w:rPr>
          <w:rFonts w:ascii="標楷體" w:eastAsia="標楷體" w:hAnsi="標楷體"/>
          <w:sz w:val="28"/>
          <w:szCs w:val="28"/>
        </w:rPr>
        <w:t>第一條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本辦法依</w:t>
      </w:r>
      <w:proofErr w:type="gramStart"/>
      <w:r>
        <w:rPr>
          <w:rFonts w:ascii="標楷體" w:eastAsia="標楷體" w:hAnsi="標楷體"/>
          <w:sz w:val="28"/>
          <w:szCs w:val="28"/>
        </w:rPr>
        <w:t>菸</w:t>
      </w:r>
      <w:proofErr w:type="gramEnd"/>
      <w:r>
        <w:rPr>
          <w:rFonts w:ascii="標楷體" w:eastAsia="標楷體" w:hAnsi="標楷體"/>
          <w:sz w:val="28"/>
          <w:szCs w:val="28"/>
        </w:rPr>
        <w:t>害防制法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以下稱本法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第四十二條第三項規定訂定之。</w:t>
      </w:r>
    </w:p>
    <w:p w14:paraId="3E48C979" w14:textId="77777777" w:rsidR="00CD6AA2" w:rsidRDefault="00646EC8">
      <w:pPr>
        <w:pStyle w:val="Standard"/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戒菸教育，分為在學戒菸教育、非在學戒菸教育及矯正機關戒菸教育。</w:t>
      </w:r>
    </w:p>
    <w:p w14:paraId="096609CB" w14:textId="77777777" w:rsidR="00CD6AA2" w:rsidRDefault="00646EC8">
      <w:pPr>
        <w:pStyle w:val="Standard"/>
        <w:spacing w:line="480" w:lineRule="exact"/>
        <w:ind w:left="720" w:firstLine="61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前項矯正機關戒菸教育之對象，以收容人為限。</w:t>
      </w:r>
    </w:p>
    <w:p w14:paraId="2A925444" w14:textId="77777777" w:rsidR="00CD6AA2" w:rsidRDefault="00646EC8">
      <w:pPr>
        <w:pStyle w:val="Standard"/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第三條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在學或矯正機關戒菸教育，由各該學校或矯正機關辦理；非在學戒菸教育，由直轄市、縣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主管機關辦理。</w:t>
      </w:r>
    </w:p>
    <w:p w14:paraId="4AB76BED" w14:textId="77777777" w:rsidR="00CD6AA2" w:rsidRDefault="00646EC8">
      <w:pPr>
        <w:pStyle w:val="Standard"/>
        <w:spacing w:line="480" w:lineRule="exact"/>
        <w:ind w:left="850" w:firstLine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前項戒菸教育，得委任、委託或洽請相關機關、機構或團體辦理。</w:t>
      </w:r>
    </w:p>
    <w:p w14:paraId="79B437EA" w14:textId="77777777" w:rsidR="00CD6AA2" w:rsidRDefault="00646EC8">
      <w:pPr>
        <w:pStyle w:val="Standard"/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第四條　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學校、矯正機關及直轄市、縣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主管機關，應指定專人負責辦理戒菸教育。</w:t>
      </w:r>
    </w:p>
    <w:p w14:paraId="11D1FD87" w14:textId="77777777" w:rsidR="00CD6AA2" w:rsidRDefault="00646EC8">
      <w:pPr>
        <w:pStyle w:val="Standard"/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第五條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戒菸教育之內容，包括</w:t>
      </w:r>
      <w:proofErr w:type="gramStart"/>
      <w:r>
        <w:rPr>
          <w:rFonts w:ascii="標楷體" w:eastAsia="標楷體" w:hAnsi="標楷體"/>
          <w:sz w:val="28"/>
          <w:szCs w:val="28"/>
        </w:rPr>
        <w:t>菸</w:t>
      </w:r>
      <w:proofErr w:type="gramEnd"/>
      <w:r>
        <w:rPr>
          <w:rFonts w:ascii="標楷體" w:eastAsia="標楷體" w:hAnsi="標楷體"/>
          <w:sz w:val="28"/>
          <w:szCs w:val="28"/>
        </w:rPr>
        <w:t>害之認識、反菸或拒</w:t>
      </w:r>
      <w:proofErr w:type="gramStart"/>
      <w:r>
        <w:rPr>
          <w:rFonts w:ascii="標楷體" w:eastAsia="標楷體" w:hAnsi="標楷體"/>
          <w:sz w:val="28"/>
          <w:szCs w:val="28"/>
        </w:rPr>
        <w:t>菸</w:t>
      </w:r>
      <w:proofErr w:type="gramEnd"/>
      <w:r>
        <w:rPr>
          <w:rFonts w:ascii="標楷體" w:eastAsia="標楷體" w:hAnsi="標楷體"/>
          <w:sz w:val="28"/>
          <w:szCs w:val="28"/>
        </w:rPr>
        <w:t>之方法、戒菸意識之加強及其他戒菸有關事項。</w:t>
      </w:r>
    </w:p>
    <w:p w14:paraId="3FF7DEB6" w14:textId="77777777" w:rsidR="00CD6AA2" w:rsidRDefault="00646EC8">
      <w:pPr>
        <w:pStyle w:val="Standard"/>
        <w:spacing w:line="480" w:lineRule="exact"/>
        <w:ind w:left="85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戒菸教育之實施方式，得以課堂講授、諮商輔導、電子通訊、網際網路或其他傳輸媒體為之。</w:t>
      </w:r>
    </w:p>
    <w:p w14:paraId="2327CE93" w14:textId="77777777" w:rsidR="00CD6AA2" w:rsidRDefault="00646EC8">
      <w:pPr>
        <w:pStyle w:val="Standard"/>
        <w:spacing w:line="480" w:lineRule="exact"/>
        <w:ind w:left="85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接受戒菸教育之時數，不得少於二小時；未滿二十歲者於一年內，再次違反本法第十六條第一項規定時，得延長其戒菸教育時數。</w:t>
      </w:r>
    </w:p>
    <w:p w14:paraId="492CAACE" w14:textId="77777777" w:rsidR="00CD6AA2" w:rsidRDefault="00646EC8">
      <w:pPr>
        <w:pStyle w:val="Standard"/>
        <w:shd w:val="clear" w:color="auto" w:fill="FFFFFF"/>
        <w:tabs>
          <w:tab w:val="left" w:pos="1756"/>
          <w:tab w:val="left" w:pos="2672"/>
          <w:tab w:val="left" w:pos="3588"/>
          <w:tab w:val="left" w:pos="4504"/>
          <w:tab w:val="left" w:pos="5420"/>
          <w:tab w:val="left" w:pos="6336"/>
          <w:tab w:val="left" w:pos="7252"/>
          <w:tab w:val="left" w:pos="8168"/>
          <w:tab w:val="left" w:pos="9084"/>
          <w:tab w:val="left" w:pos="10000"/>
          <w:tab w:val="left" w:pos="10916"/>
          <w:tab w:val="left" w:pos="11832"/>
          <w:tab w:val="left" w:pos="12748"/>
          <w:tab w:val="left" w:pos="13664"/>
          <w:tab w:val="left" w:pos="14580"/>
          <w:tab w:val="left" w:pos="15496"/>
        </w:tabs>
        <w:spacing w:line="480" w:lineRule="exact"/>
        <w:ind w:left="840" w:hanging="840"/>
      </w:pPr>
      <w:r>
        <w:rPr>
          <w:rFonts w:ascii="標楷體" w:eastAsia="標楷體" w:hAnsi="標楷體"/>
          <w:sz w:val="28"/>
          <w:szCs w:val="28"/>
        </w:rPr>
        <w:t>第六條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本辦法自中華民國一百十二年三月二十二日施行。</w:t>
      </w:r>
      <w:bookmarkEnd w:id="0"/>
    </w:p>
    <w:p w14:paraId="51A16CAA" w14:textId="77777777" w:rsidR="00CD6AA2" w:rsidRDefault="00CD6AA2">
      <w:pPr>
        <w:pStyle w:val="Standard"/>
      </w:pPr>
    </w:p>
    <w:sectPr w:rsidR="00CD6AA2">
      <w:pgSz w:w="11906" w:h="16838"/>
      <w:pgMar w:top="1418" w:right="1418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BB0A" w14:textId="77777777" w:rsidR="00646EC8" w:rsidRDefault="00646EC8">
      <w:r>
        <w:separator/>
      </w:r>
    </w:p>
  </w:endnote>
  <w:endnote w:type="continuationSeparator" w:id="0">
    <w:p w14:paraId="49C81666" w14:textId="77777777" w:rsidR="00646EC8" w:rsidRDefault="0064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auto"/>
    <w:pitch w:val="variable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A1FB" w14:textId="77777777" w:rsidR="00646EC8" w:rsidRDefault="00646EC8">
      <w:r>
        <w:rPr>
          <w:color w:val="000000"/>
        </w:rPr>
        <w:separator/>
      </w:r>
    </w:p>
  </w:footnote>
  <w:footnote w:type="continuationSeparator" w:id="0">
    <w:p w14:paraId="02A7290C" w14:textId="77777777" w:rsidR="00646EC8" w:rsidRDefault="0064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7A3"/>
    <w:multiLevelType w:val="multilevel"/>
    <w:tmpl w:val="11707B9A"/>
    <w:styleLink w:val="WWNum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C5C68"/>
    <w:multiLevelType w:val="multilevel"/>
    <w:tmpl w:val="9110A47A"/>
    <w:styleLink w:val="WWNum5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944E9"/>
    <w:multiLevelType w:val="multilevel"/>
    <w:tmpl w:val="CE60C706"/>
    <w:styleLink w:val="WWNum2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2529EB"/>
    <w:multiLevelType w:val="multilevel"/>
    <w:tmpl w:val="CE181064"/>
    <w:styleLink w:val="WWNum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BF2CED"/>
    <w:multiLevelType w:val="multilevel"/>
    <w:tmpl w:val="9DCC01B8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B57306"/>
    <w:multiLevelType w:val="multilevel"/>
    <w:tmpl w:val="F24CCD98"/>
    <w:styleLink w:val="WW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6D58D2"/>
    <w:multiLevelType w:val="multilevel"/>
    <w:tmpl w:val="680ADCC6"/>
    <w:styleLink w:val="WWNum20"/>
    <w:lvl w:ilvl="0">
      <w:start w:val="1"/>
      <w:numFmt w:val="japaneseCounting"/>
      <w:lvlText w:val="%1、"/>
      <w:lvlJc w:val="left"/>
      <w:pPr>
        <w:ind w:left="840" w:hanging="48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65DF2"/>
    <w:multiLevelType w:val="multilevel"/>
    <w:tmpl w:val="99527814"/>
    <w:styleLink w:val="WWNum2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9775F1"/>
    <w:multiLevelType w:val="multilevel"/>
    <w:tmpl w:val="EC4CD194"/>
    <w:styleLink w:val="WWNum2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503B27"/>
    <w:multiLevelType w:val="multilevel"/>
    <w:tmpl w:val="207A6A60"/>
    <w:styleLink w:val="WWNum1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5C2EA9"/>
    <w:multiLevelType w:val="multilevel"/>
    <w:tmpl w:val="B1884964"/>
    <w:styleLink w:val="WWNum6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FA76783"/>
    <w:multiLevelType w:val="multilevel"/>
    <w:tmpl w:val="B0E60AF6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CE6EAB"/>
    <w:multiLevelType w:val="multilevel"/>
    <w:tmpl w:val="AC8CF546"/>
    <w:styleLink w:val="WWNum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437995"/>
    <w:multiLevelType w:val="multilevel"/>
    <w:tmpl w:val="38A0CE9C"/>
    <w:styleLink w:val="WWNum18"/>
    <w:lvl w:ilvl="0">
      <w:start w:val="1"/>
      <w:numFmt w:val="japaneseCounting"/>
      <w:lvlText w:val="%1、"/>
      <w:lvlJc w:val="left"/>
      <w:pPr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5302E"/>
    <w:multiLevelType w:val="multilevel"/>
    <w:tmpl w:val="0EAE9556"/>
    <w:styleLink w:val="WWNum17"/>
    <w:lvl w:ilvl="0">
      <w:start w:val="1"/>
      <w:numFmt w:val="japaneseCounting"/>
      <w:lvlText w:val="%1、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911AC"/>
    <w:multiLevelType w:val="multilevel"/>
    <w:tmpl w:val="6D4A5280"/>
    <w:styleLink w:val="WWNum2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482ECB"/>
    <w:multiLevelType w:val="multilevel"/>
    <w:tmpl w:val="B7942D96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F7607F"/>
    <w:multiLevelType w:val="multilevel"/>
    <w:tmpl w:val="5E1CD408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E93F65"/>
    <w:multiLevelType w:val="multilevel"/>
    <w:tmpl w:val="9104C904"/>
    <w:styleLink w:val="WWNum22"/>
    <w:lvl w:ilvl="0">
      <w:start w:val="1"/>
      <w:numFmt w:val="japaneseCounting"/>
      <w:lvlText w:val="%1、"/>
      <w:lvlJc w:val="left"/>
      <w:pPr>
        <w:ind w:left="840" w:hanging="48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9551F"/>
    <w:multiLevelType w:val="multilevel"/>
    <w:tmpl w:val="8A1605B8"/>
    <w:styleLink w:val="WWNum16"/>
    <w:lvl w:ilvl="0">
      <w:start w:val="1"/>
      <w:numFmt w:val="japaneseCount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77CDF"/>
    <w:multiLevelType w:val="multilevel"/>
    <w:tmpl w:val="7C16DA3E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2752CE"/>
    <w:multiLevelType w:val="multilevel"/>
    <w:tmpl w:val="05C8228E"/>
    <w:styleLink w:val="WWNum1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D91AE3"/>
    <w:multiLevelType w:val="multilevel"/>
    <w:tmpl w:val="767AC0F0"/>
    <w:styleLink w:val="WWNum19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105F8C"/>
    <w:multiLevelType w:val="multilevel"/>
    <w:tmpl w:val="87AE8182"/>
    <w:styleLink w:val="WWNum1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150B8A"/>
    <w:multiLevelType w:val="multilevel"/>
    <w:tmpl w:val="ADB4607A"/>
    <w:styleLink w:val="WWNum2"/>
    <w:lvl w:ilvl="0">
      <w:start w:val="1"/>
      <w:numFmt w:val="japaneseCounting"/>
      <w:lvlText w:val="（%1）"/>
      <w:lvlJc w:val="left"/>
      <w:pPr>
        <w:ind w:left="1425" w:hanging="855"/>
      </w:pPr>
    </w:lvl>
    <w:lvl w:ilvl="1">
      <w:start w:val="1"/>
      <w:numFmt w:val="decimal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20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  <w:num w:numId="13">
    <w:abstractNumId w:val="16"/>
  </w:num>
  <w:num w:numId="14">
    <w:abstractNumId w:val="5"/>
  </w:num>
  <w:num w:numId="15">
    <w:abstractNumId w:val="23"/>
  </w:num>
  <w:num w:numId="16">
    <w:abstractNumId w:val="19"/>
  </w:num>
  <w:num w:numId="17">
    <w:abstractNumId w:val="14"/>
  </w:num>
  <w:num w:numId="18">
    <w:abstractNumId w:val="13"/>
  </w:num>
  <w:num w:numId="19">
    <w:abstractNumId w:val="22"/>
  </w:num>
  <w:num w:numId="20">
    <w:abstractNumId w:val="6"/>
  </w:num>
  <w:num w:numId="21">
    <w:abstractNumId w:val="8"/>
  </w:num>
  <w:num w:numId="22">
    <w:abstractNumId w:val="18"/>
  </w:num>
  <w:num w:numId="23">
    <w:abstractNumId w:val="2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6AA2"/>
    <w:rsid w:val="00646EC8"/>
    <w:rsid w:val="00B86FDA"/>
    <w:rsid w:val="00CD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F4385"/>
  <w15:docId w15:val="{BD7CD660-BD01-476C-9296-D77865BE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  <w:lang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lang w:bidi="hi-IN"/>
    </w:rPr>
  </w:style>
  <w:style w:type="paragraph" w:customStyle="1" w:styleId="014">
    <w:name w:val="014"/>
    <w:basedOn w:val="Standard"/>
    <w:pPr>
      <w:widowControl/>
    </w:pPr>
    <w:rPr>
      <w:rFonts w:ascii="新細明體" w:hAnsi="新細明體" w:cs="新細明體"/>
      <w:kern w:val="0"/>
      <w:lang w:bidi="hi-IN"/>
    </w:rPr>
  </w:style>
  <w:style w:type="paragraph" w:customStyle="1" w:styleId="8">
    <w:name w:val="正文文本 (8)"/>
    <w:basedOn w:val="Standard"/>
    <w:pPr>
      <w:shd w:val="clear" w:color="auto" w:fill="FFFFFF"/>
      <w:spacing w:after="480" w:line="240" w:lineRule="atLeast"/>
      <w:ind w:hanging="760"/>
      <w:jc w:val="both"/>
    </w:pPr>
    <w:rPr>
      <w:rFonts w:ascii="新細明體" w:eastAsia="Times New Roman" w:hAnsi="新細明體" w:cs="Mangal"/>
      <w:kern w:val="0"/>
      <w:sz w:val="20"/>
      <w:szCs w:val="20"/>
      <w:lang w:bidi="ne-NP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Standarduser">
    <w:name w:val="Standard (user)"/>
    <w:rPr>
      <w:rFonts w:eastAsia="新細明體, PMingLiU"/>
      <w:kern w:val="3"/>
      <w:sz w:val="24"/>
      <w:szCs w:val="24"/>
    </w:rPr>
  </w:style>
  <w:style w:type="paragraph" w:customStyle="1" w:styleId="MSGENFONTSTYLENAMETEMPLATEROLEMSGENFONTSTYLENAMEBYROLETEXT">
    <w:name w:val="MSG_EN_FONT_STYLE_NAME_TEMPLATE_ROLE MSG_EN_FONT_STYLE_NAME_BY_ROLE_TEXT"/>
    <w:basedOn w:val="Standarduser"/>
    <w:pPr>
      <w:spacing w:line="461" w:lineRule="exact"/>
      <w:jc w:val="both"/>
    </w:pPr>
    <w:rPr>
      <w:rFonts w:ascii="新細明體, PMingLiU" w:hAnsi="新細明體, PMingLiU" w:cs="新細明體, PMingLiU"/>
      <w:sz w:val="20"/>
      <w:szCs w:val="20"/>
    </w:rPr>
  </w:style>
  <w:style w:type="paragraph" w:styleId="a8">
    <w:name w:val="Balloon Text"/>
    <w:basedOn w:val="Standard"/>
    <w:rPr>
      <w:rFonts w:ascii="Microsoft JhengHei UI" w:eastAsia="Microsoft JhengHei UI" w:hAnsi="Microsoft JhengHei UI" w:cs="Microsoft JhengHei UI"/>
      <w:sz w:val="18"/>
      <w:szCs w:val="18"/>
    </w:rPr>
  </w:style>
  <w:style w:type="character" w:customStyle="1" w:styleId="80">
    <w:name w:val="正文文本 (8)_"/>
    <w:basedOn w:val="a0"/>
    <w:rPr>
      <w:rFonts w:ascii="新細明體" w:eastAsia="新細明體" w:hAnsi="新細明體" w:cs="Mangal"/>
      <w:lang w:bidi="ne-NP"/>
    </w:rPr>
  </w:style>
  <w:style w:type="character" w:customStyle="1" w:styleId="content1">
    <w:name w:val="content1"/>
    <w:basedOn w:val="a0"/>
    <w:rPr>
      <w:strike w:val="0"/>
      <w:dstrike w:val="0"/>
      <w:vanish w:val="0"/>
      <w:color w:val="000000"/>
      <w:u w:val="none"/>
    </w:rPr>
  </w:style>
  <w:style w:type="character" w:customStyle="1" w:styleId="a9">
    <w:name w:val="頁首 字元"/>
    <w:basedOn w:val="a0"/>
    <w:rPr>
      <w:kern w:val="3"/>
    </w:rPr>
  </w:style>
  <w:style w:type="character" w:customStyle="1" w:styleId="aa">
    <w:name w:val="註解方塊文字 字元"/>
    <w:basedOn w:val="a0"/>
    <w:rPr>
      <w:rFonts w:ascii="Microsoft JhengHei UI" w:eastAsia="Microsoft JhengHei UI" w:hAnsi="Microsoft JhengHei UI" w:cs="Microsoft JhengHei UI"/>
      <w:kern w:val="3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ascii="標楷體" w:eastAsia="標楷體" w:hAnsi="標楷體" w:cs="Times New Roman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lang w:val="en-US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lang w:val="en-US"/>
    </w:rPr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  <w:rPr>
      <w:lang w:val="en-US"/>
    </w:rPr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行政院衛生署國民健康局提供統計資訊收費標準修正草案總說明</dc:title>
  <dc:creator>bhprich</dc:creator>
  <cp:lastModifiedBy>林意玲</cp:lastModifiedBy>
  <cp:revision>2</cp:revision>
  <cp:lastPrinted>2013-12-16T11:51:00Z</cp:lastPrinted>
  <dcterms:created xsi:type="dcterms:W3CDTF">2023-05-11T10:17:00Z</dcterms:created>
  <dcterms:modified xsi:type="dcterms:W3CDTF">2023-05-11T10:17:00Z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