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D937" w14:textId="082A41C7" w:rsidR="0045246C" w:rsidRPr="00C069D8" w:rsidRDefault="00061417" w:rsidP="7D0F7497">
      <w:pPr>
        <w:pStyle w:val="a6"/>
        <w:spacing w:line="400" w:lineRule="exact"/>
        <w:ind w:firstLine="181"/>
        <w:jc w:val="center"/>
        <w:rPr>
          <w:rFonts w:hint="eastAsia"/>
        </w:rPr>
      </w:pPr>
      <w:bookmarkStart w:id="0" w:name="_Hlk187153856"/>
      <w:r w:rsidRPr="00C069D8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</w:t>
      </w:r>
      <w:proofErr w:type="gramStart"/>
      <w:r w:rsidRPr="00C069D8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Pr="00C069D8">
        <w:rPr>
          <w:rFonts w:ascii="Times New Roman" w:eastAsia="標楷體" w:hAnsi="Times New Roman" w:cs="Times New Roman"/>
          <w:b/>
          <w:bCs/>
          <w:sz w:val="36"/>
          <w:szCs w:val="36"/>
        </w:rPr>
        <w:t>中市政府衛生局</w:t>
      </w:r>
    </w:p>
    <w:p w14:paraId="1946B88C" w14:textId="3495839D" w:rsidR="0045246C" w:rsidRPr="00C069D8" w:rsidRDefault="304E44E0" w:rsidP="7D0F7497">
      <w:pPr>
        <w:pStyle w:val="a6"/>
        <w:spacing w:line="400" w:lineRule="exact"/>
        <w:ind w:firstLine="181"/>
        <w:jc w:val="center"/>
        <w:rPr>
          <w:rFonts w:hint="eastAsia"/>
        </w:rPr>
      </w:pPr>
      <w:r w:rsidRPr="00C069D8">
        <w:rPr>
          <w:rFonts w:ascii="Times New Roman" w:eastAsia="Times New Roman" w:hAnsi="Times New Roman" w:cs="Times New Roman"/>
          <w:b/>
          <w:bCs/>
          <w:sz w:val="36"/>
          <w:szCs w:val="36"/>
        </w:rPr>
        <w:t>114</w:t>
      </w:r>
      <w:r w:rsidR="008E0F59" w:rsidRPr="00C069D8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  <w:r w:rsidRPr="00C069D8">
        <w:rPr>
          <w:rFonts w:ascii="標楷體" w:eastAsia="標楷體" w:hAnsi="標楷體" w:cs="標楷體"/>
          <w:b/>
          <w:bCs/>
          <w:sz w:val="36"/>
          <w:szCs w:val="36"/>
        </w:rPr>
        <w:t>年</w:t>
      </w:r>
      <w:proofErr w:type="gramStart"/>
      <w:r w:rsidRPr="00C069D8">
        <w:rPr>
          <w:rFonts w:ascii="標楷體" w:eastAsia="標楷體" w:hAnsi="標楷體" w:cs="標楷體"/>
          <w:b/>
          <w:bCs/>
          <w:sz w:val="36"/>
          <w:szCs w:val="36"/>
        </w:rPr>
        <w:t>臺</w:t>
      </w:r>
      <w:proofErr w:type="gramEnd"/>
      <w:r w:rsidRPr="00C069D8">
        <w:rPr>
          <w:rFonts w:ascii="標楷體" w:eastAsia="標楷體" w:hAnsi="標楷體" w:cs="標楷體"/>
          <w:b/>
          <w:bCs/>
          <w:sz w:val="36"/>
          <w:szCs w:val="36"/>
        </w:rPr>
        <w:t>中市學齡前兒童視力篩檢試辦計畫</w:t>
      </w:r>
    </w:p>
    <w:bookmarkEnd w:id="0"/>
    <w:p w14:paraId="3B79E6C5" w14:textId="56EAD5C6" w:rsidR="00031F42" w:rsidRPr="00C069D8" w:rsidRDefault="00061417">
      <w:pPr>
        <w:pStyle w:val="a6"/>
        <w:spacing w:line="400" w:lineRule="exact"/>
        <w:ind w:firstLine="181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069D8">
        <w:rPr>
          <w:rFonts w:ascii="Times New Roman" w:eastAsia="標楷體" w:hAnsi="Times New Roman" w:cs="Times New Roman"/>
          <w:b/>
          <w:sz w:val="36"/>
          <w:szCs w:val="36"/>
        </w:rPr>
        <w:t>委託契約書</w:t>
      </w:r>
    </w:p>
    <w:p w14:paraId="4E96D7FA" w14:textId="2C45A051" w:rsidR="00031F42" w:rsidRPr="00C069D8" w:rsidRDefault="00256E6D" w:rsidP="00256E6D">
      <w:pPr>
        <w:pStyle w:val="a6"/>
        <w:spacing w:before="180" w:line="440" w:lineRule="exact"/>
        <w:ind w:left="24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proofErr w:type="gramStart"/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中市政府衛生局〈以下簡稱甲方〉特委託</w:t>
      </w:r>
      <w:r w:rsidR="00061417" w:rsidRPr="00C069D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</w:t>
      </w:r>
      <w:r w:rsidR="00D731F1" w:rsidRPr="00C069D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061417" w:rsidRPr="00C069D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〈以下簡稱乙方〉辦理</w:t>
      </w:r>
      <w:proofErr w:type="gramStart"/>
      <w:r w:rsidR="00061417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臺</w:t>
      </w:r>
      <w:proofErr w:type="gramEnd"/>
      <w:r w:rsidR="00061417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中市政府</w:t>
      </w:r>
      <w:r w:rsidR="0045246C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衛生局</w:t>
      </w:r>
      <w:r w:rsidR="59CD1715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166AA2" w:rsidRPr="00C069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="00166AA2" w:rsidRPr="00C069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proofErr w:type="gramStart"/>
      <w:r w:rsidR="59CD1715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臺</w:t>
      </w:r>
      <w:proofErr w:type="gramEnd"/>
      <w:r w:rsidR="59CD1715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>中市學齡前兒童視力篩檢試辦計畫</w:t>
      </w:r>
      <w:r w:rsidR="59CD1715" w:rsidRPr="00C069D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，經雙方同意訂立條款如下：</w:t>
      </w:r>
    </w:p>
    <w:p w14:paraId="745FA823" w14:textId="3D9A4415" w:rsidR="00D731F1" w:rsidRPr="00C069D8" w:rsidRDefault="00D731F1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乙方應遵守「</w:t>
      </w:r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114</w:t>
      </w:r>
      <w:r w:rsidR="0032722B" w:rsidRPr="00C069D8">
        <w:rPr>
          <w:rFonts w:ascii="Times New Roman" w:eastAsia="標楷體" w:hAnsi="Times New Roman" w:cs="Times New Roman" w:hint="eastAsia"/>
          <w:sz w:val="28"/>
          <w:szCs w:val="28"/>
        </w:rPr>
        <w:t>學年度</w:t>
      </w:r>
      <w:proofErr w:type="gramStart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中市學齡前兒童視力檢查試辦計畫」及相關法令規定，辦理學齡前兒童視力篩檢、散</w:t>
      </w:r>
      <w:proofErr w:type="gramStart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瞳</w:t>
      </w:r>
      <w:proofErr w:type="gramEnd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屈光度數檢查、斜弱視篩檢、異常個案轉</w:t>
      </w:r>
      <w:proofErr w:type="gramStart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介</w:t>
      </w:r>
      <w:proofErr w:type="gramEnd"/>
      <w:r w:rsidR="5016F362" w:rsidRPr="00C069D8">
        <w:rPr>
          <w:rFonts w:ascii="Times New Roman" w:eastAsia="標楷體" w:hAnsi="Times New Roman" w:cs="Times New Roman"/>
          <w:sz w:val="28"/>
          <w:szCs w:val="28"/>
        </w:rPr>
        <w:t>追蹤及視力保健衛教服務，以建立早期發現、早期介入之兒童視力健康照護模式。</w:t>
      </w:r>
    </w:p>
    <w:p w14:paraId="13A8D6AC" w14:textId="29DCC916" w:rsidR="00D731F1" w:rsidRPr="00C069D8" w:rsidRDefault="00E827C3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乙方辦理本計畫時，應本專業技術及倫理，如可歸責於乙方之過失致損害健檢服務對象時，乙方應自負醫療糾紛責任，與甲方無關。</w:t>
      </w:r>
    </w:p>
    <w:p w14:paraId="5F63002C" w14:textId="066F977E" w:rsidR="00E827C3" w:rsidRPr="00C069D8" w:rsidRDefault="00E827C3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乙方履行本契約所載之檢查，應由執業登錄之護理</w:t>
      </w:r>
      <w:r w:rsidRPr="00C069D8">
        <w:rPr>
          <w:rFonts w:ascii="Times New Roman" w:eastAsia="標楷體" w:hAnsi="Times New Roman" w:cs="Times New Roman"/>
          <w:sz w:val="28"/>
          <w:szCs w:val="28"/>
        </w:rPr>
        <w:t>/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事</w:t>
      </w:r>
      <w:r w:rsidRPr="00C069D8">
        <w:rPr>
          <w:rFonts w:ascii="Times New Roman" w:eastAsia="標楷體" w:hAnsi="Times New Roman" w:cs="Times New Roman"/>
          <w:sz w:val="28"/>
          <w:szCs w:val="28"/>
        </w:rPr>
        <w:t>/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技人員執行，甲方得不定期抽查。</w:t>
      </w:r>
    </w:p>
    <w:p w14:paraId="4517F8ED" w14:textId="055691BB" w:rsidR="00A46398" w:rsidRPr="00C069D8" w:rsidRDefault="003802F0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執行</w:t>
      </w:r>
      <w:r w:rsidR="49D7AFE5" w:rsidRPr="00C069D8">
        <w:rPr>
          <w:rFonts w:ascii="Times New Roman" w:eastAsia="標楷體" w:hAnsi="Times New Roman" w:cs="Times New Roman"/>
          <w:sz w:val="28"/>
          <w:szCs w:val="28"/>
        </w:rPr>
        <w:t>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前，乙方應與受檢對象幼兒園充分溝通辦理方式、器材、流程，並確認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受檢幼生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名單是否符合受檢資格</w:t>
      </w:r>
      <w:r w:rsidR="00A46398" w:rsidRPr="00C069D8">
        <w:rPr>
          <w:rFonts w:ascii="Times New Roman" w:eastAsia="標楷體" w:hAnsi="Times New Roman" w:cs="Times New Roman"/>
          <w:sz w:val="28"/>
          <w:szCs w:val="28"/>
        </w:rPr>
        <w:t>；</w:t>
      </w:r>
      <w:r w:rsidR="17854A9B" w:rsidRPr="00C069D8">
        <w:rPr>
          <w:rFonts w:ascii="Times New Roman" w:eastAsia="標楷體" w:hAnsi="Times New Roman" w:cs="Times New Roman"/>
          <w:sz w:val="28"/>
          <w:szCs w:val="28"/>
        </w:rPr>
        <w:t>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時</w:t>
      </w:r>
      <w:r w:rsidR="00080D95" w:rsidRPr="00C069D8">
        <w:rPr>
          <w:rFonts w:ascii="Times New Roman" w:eastAsia="標楷體" w:hAnsi="Times New Roman" w:cs="Times New Roman"/>
          <w:sz w:val="28"/>
          <w:szCs w:val="28"/>
        </w:rPr>
        <w:t>應確實核對幼生資料，</w:t>
      </w:r>
      <w:r w:rsidR="00E827C3" w:rsidRPr="00C069D8">
        <w:rPr>
          <w:rFonts w:ascii="Times New Roman" w:eastAsia="標楷體" w:hAnsi="Times New Roman" w:cs="Times New Roman"/>
          <w:sz w:val="28"/>
          <w:szCs w:val="28"/>
        </w:rPr>
        <w:t>如發生</w:t>
      </w:r>
      <w:r w:rsidR="00A46398" w:rsidRPr="00C069D8">
        <w:rPr>
          <w:rFonts w:ascii="Times New Roman" w:eastAsia="標楷體" w:hAnsi="Times New Roman" w:cs="Times New Roman"/>
          <w:sz w:val="28"/>
          <w:szCs w:val="28"/>
        </w:rPr>
        <w:t>冒名頂替、</w:t>
      </w:r>
      <w:r w:rsidR="00E827C3" w:rsidRPr="00C069D8">
        <w:rPr>
          <w:rFonts w:ascii="Times New Roman" w:eastAsia="標楷體" w:hAnsi="Times New Roman" w:cs="Times New Roman"/>
          <w:sz w:val="28"/>
          <w:szCs w:val="28"/>
        </w:rPr>
        <w:t>重複受檢或資格不符之情事，應即拒絕檢查，</w:t>
      </w:r>
      <w:proofErr w:type="gramStart"/>
      <w:r w:rsidR="00E827C3" w:rsidRPr="00C069D8">
        <w:rPr>
          <w:rFonts w:ascii="Times New Roman" w:eastAsia="標楷體" w:hAnsi="Times New Roman" w:cs="Times New Roman"/>
          <w:sz w:val="28"/>
          <w:szCs w:val="28"/>
        </w:rPr>
        <w:t>倘已檢查</w:t>
      </w:r>
      <w:proofErr w:type="gramEnd"/>
      <w:r w:rsidR="00E827C3" w:rsidRPr="00C069D8">
        <w:rPr>
          <w:rFonts w:ascii="Times New Roman" w:eastAsia="標楷體" w:hAnsi="Times New Roman" w:cs="Times New Roman"/>
          <w:sz w:val="28"/>
          <w:szCs w:val="28"/>
        </w:rPr>
        <w:t>者，乙方應自負該案相關責任及費用。</w:t>
      </w:r>
    </w:p>
    <w:p w14:paraId="6ADCF3C2" w14:textId="694CBFFA" w:rsidR="00E65B13" w:rsidRPr="00C069D8" w:rsidRDefault="0049470F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乙方應依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約定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期程</w:t>
      </w:r>
      <w:r w:rsidR="44F33560" w:rsidRPr="00C069D8">
        <w:rPr>
          <w:rFonts w:ascii="Times New Roman" w:eastAsia="標楷體" w:hAnsi="Times New Roman" w:cs="Times New Roman"/>
          <w:sz w:val="28"/>
          <w:szCs w:val="28"/>
        </w:rPr>
        <w:t>由合格醫療專業人員至幼兒園為</w:t>
      </w:r>
      <w:proofErr w:type="gramStart"/>
      <w:r w:rsidR="44F33560" w:rsidRPr="00C069D8">
        <w:rPr>
          <w:rFonts w:ascii="Times New Roman" w:eastAsia="標楷體" w:hAnsi="Times New Roman" w:cs="Times New Roman"/>
          <w:sz w:val="28"/>
          <w:szCs w:val="28"/>
        </w:rPr>
        <w:t>受檢幼生</w:t>
      </w:r>
      <w:proofErr w:type="gramEnd"/>
      <w:r w:rsidR="44F33560" w:rsidRPr="00C069D8">
        <w:rPr>
          <w:rFonts w:ascii="Times New Roman" w:eastAsia="標楷體" w:hAnsi="Times New Roman" w:cs="Times New Roman"/>
          <w:sz w:val="28"/>
          <w:szCs w:val="28"/>
        </w:rPr>
        <w:t>辦理視力篩檢工作</w:t>
      </w:r>
      <w:r w:rsidR="00DB2932" w:rsidRPr="00C069D8">
        <w:rPr>
          <w:rFonts w:ascii="Times New Roman" w:eastAsia="標楷體" w:hAnsi="Times New Roman" w:cs="Times New Roman"/>
          <w:sz w:val="28"/>
          <w:szCs w:val="28"/>
        </w:rPr>
        <w:t>，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將個案</w:t>
      </w:r>
      <w:r w:rsidR="4EF023ED" w:rsidRPr="00C069D8">
        <w:rPr>
          <w:rFonts w:ascii="Times New Roman" w:eastAsia="標楷體" w:hAnsi="Times New Roman" w:cs="Times New Roman"/>
          <w:sz w:val="28"/>
          <w:szCs w:val="28"/>
        </w:rPr>
        <w:t>視力篩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檢結果確實詳細記錄於</w:t>
      </w:r>
      <w:r w:rsidR="17D4E3A4" w:rsidRPr="00C069D8">
        <w:rPr>
          <w:rFonts w:ascii="Times New Roman" w:eastAsia="標楷體" w:hAnsi="Times New Roman" w:cs="Times New Roman"/>
          <w:sz w:val="28"/>
          <w:szCs w:val="28"/>
        </w:rPr>
        <w:t>表單中，並將資料鍵入衛生福利部國民</w:t>
      </w:r>
      <w:proofErr w:type="gramStart"/>
      <w:r w:rsidR="17D4E3A4" w:rsidRPr="00C069D8">
        <w:rPr>
          <w:rFonts w:ascii="Times New Roman" w:eastAsia="標楷體" w:hAnsi="Times New Roman" w:cs="Times New Roman"/>
          <w:sz w:val="28"/>
          <w:szCs w:val="28"/>
        </w:rPr>
        <w:t>健康署</w:t>
      </w:r>
      <w:proofErr w:type="gramEnd"/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建置之「</w:t>
      </w:r>
      <w:r w:rsidR="278514F9" w:rsidRPr="00C069D8">
        <w:rPr>
          <w:rFonts w:ascii="Times New Roman" w:eastAsia="標楷體" w:hAnsi="Times New Roman" w:cs="Times New Roman"/>
          <w:sz w:val="28"/>
          <w:szCs w:val="28"/>
        </w:rPr>
        <w:t>婦</w:t>
      </w:r>
      <w:r w:rsidR="69930760" w:rsidRPr="00C069D8">
        <w:rPr>
          <w:rFonts w:ascii="標楷體" w:eastAsia="標楷體" w:hAnsi="標楷體" w:cs="標楷體"/>
          <w:sz w:val="28"/>
          <w:szCs w:val="28"/>
        </w:rPr>
        <w:t>幼健康管理整合系統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」</w:t>
      </w:r>
      <w:r w:rsidR="41337826" w:rsidRPr="00C069D8">
        <w:rPr>
          <w:rFonts w:ascii="Times New Roman" w:eastAsia="標楷體" w:hAnsi="Times New Roman" w:cs="Times New Roman"/>
          <w:sz w:val="28"/>
          <w:szCs w:val="28"/>
        </w:rPr>
        <w:t>(</w:t>
      </w:r>
      <w:r w:rsidR="41337826" w:rsidRPr="00C069D8">
        <w:rPr>
          <w:rFonts w:ascii="Times New Roman" w:eastAsia="標楷體" w:hAnsi="Times New Roman" w:cs="Times New Roman"/>
          <w:sz w:val="28"/>
          <w:szCs w:val="28"/>
        </w:rPr>
        <w:t>下稱「婦幼健康管理整合系統」</w:t>
      </w:r>
      <w:r w:rsidR="41337826" w:rsidRPr="00C069D8">
        <w:rPr>
          <w:rFonts w:ascii="Times New Roman" w:eastAsia="標楷體" w:hAnsi="Times New Roman" w:cs="Times New Roman"/>
          <w:sz w:val="28"/>
          <w:szCs w:val="28"/>
        </w:rPr>
        <w:t>)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，依下述</w:t>
      </w:r>
      <w:r w:rsidR="00302EB8" w:rsidRPr="00C069D8">
        <w:rPr>
          <w:rFonts w:ascii="Times New Roman" w:eastAsia="標楷體" w:hAnsi="Times New Roman" w:cs="Times New Roman" w:hint="eastAsia"/>
          <w:sz w:val="28"/>
          <w:szCs w:val="28"/>
        </w:rPr>
        <w:t>事項</w:t>
      </w:r>
      <w:r w:rsidR="00E65B13" w:rsidRPr="00C069D8">
        <w:rPr>
          <w:rFonts w:ascii="Times New Roman" w:eastAsia="標楷體" w:hAnsi="Times New Roman" w:cs="Times New Roman"/>
          <w:sz w:val="28"/>
          <w:szCs w:val="28"/>
        </w:rPr>
        <w:t>辦理：</w:t>
      </w:r>
    </w:p>
    <w:p w14:paraId="1EE1E949" w14:textId="4244ED34" w:rsidR="00E02FF2" w:rsidRPr="00C069D8" w:rsidRDefault="00E65B13" w:rsidP="7D0F7497">
      <w:pPr>
        <w:pStyle w:val="a6"/>
        <w:numPr>
          <w:ilvl w:val="0"/>
          <w:numId w:val="10"/>
        </w:numPr>
        <w:spacing w:line="440" w:lineRule="exact"/>
        <w:ind w:left="156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乙方應按規定之項目提供檢查，於</w:t>
      </w:r>
      <w:r w:rsidR="008B13E5" w:rsidRPr="00C069D8">
        <w:rPr>
          <w:rFonts w:ascii="Times New Roman" w:eastAsia="標楷體" w:hAnsi="Times New Roman" w:cs="Times New Roman" w:hint="eastAsia"/>
          <w:sz w:val="28"/>
          <w:szCs w:val="28"/>
        </w:rPr>
        <w:t>入園視力篩檢作業</w:t>
      </w:r>
      <w:r w:rsidRPr="00C069D8">
        <w:rPr>
          <w:rFonts w:ascii="Times New Roman" w:eastAsia="標楷體" w:hAnsi="Times New Roman" w:cs="Times New Roman"/>
          <w:sz w:val="28"/>
          <w:szCs w:val="28"/>
        </w:rPr>
        <w:t>結束後</w:t>
      </w:r>
      <w:r w:rsidR="008B13E5" w:rsidRPr="00C069D8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天內，將</w:t>
      </w:r>
      <w:r w:rsidR="0003182F" w:rsidRPr="00C069D8">
        <w:rPr>
          <w:rFonts w:ascii="Times New Roman" w:eastAsia="標楷體" w:hAnsi="Times New Roman" w:cs="Times New Roman" w:hint="eastAsia"/>
          <w:sz w:val="28"/>
          <w:szCs w:val="28"/>
        </w:rPr>
        <w:t>幼童視力篩檢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結果登錄於</w:t>
      </w:r>
      <w:r w:rsidR="0003182F" w:rsidRPr="00C069D8">
        <w:rPr>
          <w:rFonts w:ascii="Times New Roman" w:eastAsia="標楷體" w:hAnsi="Times New Roman" w:cs="Times New Roman"/>
          <w:sz w:val="28"/>
          <w:szCs w:val="28"/>
        </w:rPr>
        <w:t>「婦幼健康管理整合系統」</w:t>
      </w:r>
      <w:r w:rsidRPr="00C069D8">
        <w:rPr>
          <w:rFonts w:ascii="Times New Roman" w:eastAsia="標楷體" w:hAnsi="Times New Roman" w:cs="Times New Roman"/>
          <w:sz w:val="28"/>
          <w:szCs w:val="28"/>
        </w:rPr>
        <w:t>，</w:t>
      </w:r>
      <w:r w:rsidR="0011170E" w:rsidRPr="00C069D8">
        <w:rPr>
          <w:rFonts w:ascii="Times New Roman" w:eastAsia="標楷體" w:hAnsi="Times New Roman" w:cs="Times New Roman" w:hint="eastAsia"/>
          <w:sz w:val="28"/>
          <w:szCs w:val="28"/>
        </w:rPr>
        <w:t>並於入園視力篩檢當天</w:t>
      </w:r>
      <w:r w:rsidR="00645B0A" w:rsidRPr="00C069D8">
        <w:rPr>
          <w:rFonts w:ascii="Times New Roman" w:eastAsia="標楷體" w:hAnsi="Times New Roman" w:cs="Times New Roman"/>
          <w:sz w:val="28"/>
          <w:szCs w:val="28"/>
        </w:rPr>
        <w:t>，</w:t>
      </w:r>
      <w:r w:rsidR="00730B13" w:rsidRPr="00C069D8">
        <w:rPr>
          <w:rFonts w:ascii="Times New Roman" w:eastAsia="標楷體" w:hAnsi="Times New Roman" w:cs="Times New Roman" w:hint="eastAsia"/>
          <w:sz w:val="28"/>
          <w:szCs w:val="28"/>
        </w:rPr>
        <w:t>將篩檢結果及相關衛教單張</w:t>
      </w:r>
      <w:r w:rsidR="00645B0A" w:rsidRPr="00C069D8">
        <w:rPr>
          <w:rFonts w:ascii="Times New Roman" w:eastAsia="標楷體" w:hAnsi="Times New Roman" w:cs="Times New Roman"/>
          <w:sz w:val="28"/>
          <w:szCs w:val="28"/>
        </w:rPr>
        <w:t>交付受檢幼兒園或受檢者；</w:t>
      </w:r>
      <w:proofErr w:type="gramStart"/>
      <w:r w:rsidR="00DB2932" w:rsidRPr="00C069D8">
        <w:rPr>
          <w:rFonts w:ascii="Times New Roman" w:eastAsia="標楷體" w:hAnsi="Times New Roman" w:cs="Times New Roman"/>
          <w:sz w:val="28"/>
          <w:szCs w:val="28"/>
        </w:rPr>
        <w:t>若經乙方</w:t>
      </w:r>
      <w:proofErr w:type="gramEnd"/>
      <w:r w:rsidR="00DB2932" w:rsidRPr="00C069D8">
        <w:rPr>
          <w:rFonts w:ascii="Times New Roman" w:eastAsia="標楷體" w:hAnsi="Times New Roman" w:cs="Times New Roman"/>
          <w:sz w:val="28"/>
          <w:szCs w:val="28"/>
        </w:rPr>
        <w:t>評估</w:t>
      </w:r>
      <w:r w:rsidR="006460EB" w:rsidRPr="00C069D8">
        <w:rPr>
          <w:rFonts w:ascii="Times New Roman" w:eastAsia="標楷體" w:hAnsi="Times New Roman" w:cs="Times New Roman" w:hint="eastAsia"/>
          <w:sz w:val="28"/>
          <w:szCs w:val="28"/>
        </w:rPr>
        <w:t>視力</w:t>
      </w:r>
      <w:r w:rsidR="00E02FF2" w:rsidRPr="00C069D8">
        <w:rPr>
          <w:rFonts w:ascii="Times New Roman" w:eastAsia="標楷體" w:hAnsi="Times New Roman" w:cs="Times New Roman"/>
          <w:sz w:val="28"/>
          <w:szCs w:val="28"/>
        </w:rPr>
        <w:t>篩檢異常，應</w:t>
      </w:r>
      <w:r w:rsidR="00DB2932" w:rsidRPr="00C069D8">
        <w:rPr>
          <w:rFonts w:ascii="Times New Roman" w:eastAsia="標楷體" w:hAnsi="Times New Roman" w:cs="Times New Roman"/>
          <w:sz w:val="28"/>
          <w:szCs w:val="28"/>
        </w:rPr>
        <w:t>提供轉</w:t>
      </w:r>
      <w:proofErr w:type="gramStart"/>
      <w:r w:rsidR="00DB2932" w:rsidRPr="00C069D8">
        <w:rPr>
          <w:rFonts w:ascii="Times New Roman" w:eastAsia="標楷體" w:hAnsi="Times New Roman" w:cs="Times New Roman"/>
          <w:sz w:val="28"/>
          <w:szCs w:val="28"/>
        </w:rPr>
        <w:t>介</w:t>
      </w:r>
      <w:proofErr w:type="gramEnd"/>
      <w:r w:rsidR="00730B13" w:rsidRPr="00C069D8">
        <w:rPr>
          <w:rFonts w:ascii="Times New Roman" w:eastAsia="標楷體" w:hAnsi="Times New Roman" w:cs="Times New Roman" w:hint="eastAsia"/>
          <w:sz w:val="28"/>
          <w:szCs w:val="28"/>
        </w:rPr>
        <w:t>通知</w:t>
      </w:r>
      <w:r w:rsidR="00E02FF2" w:rsidRPr="00C069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A97D44A" w14:textId="5ED7646F" w:rsidR="00E02FF2" w:rsidRPr="00C069D8" w:rsidRDefault="004C6AA0" w:rsidP="7D0F7497">
      <w:pPr>
        <w:pStyle w:val="a6"/>
        <w:numPr>
          <w:ilvl w:val="0"/>
          <w:numId w:val="10"/>
        </w:numPr>
        <w:spacing w:line="440" w:lineRule="exact"/>
        <w:ind w:left="156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視力篩檢異常個案，應於</w:t>
      </w:r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視力篩檢完成後</w:t>
      </w:r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90</w:t>
      </w:r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日內，將</w:t>
      </w:r>
      <w:proofErr w:type="gramStart"/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檢結果登錄至</w:t>
      </w:r>
      <w:r w:rsidR="000F37B1" w:rsidRPr="00C069D8">
        <w:rPr>
          <w:rFonts w:ascii="Times New Roman" w:eastAsia="標楷體" w:hAnsi="Times New Roman" w:cs="Times New Roman"/>
          <w:sz w:val="28"/>
          <w:szCs w:val="28"/>
        </w:rPr>
        <w:t>「婦幼健康管理整合系統」</w:t>
      </w:r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，並由登錄</w:t>
      </w:r>
      <w:proofErr w:type="gramStart"/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0F37B1" w:rsidRPr="00C069D8">
        <w:rPr>
          <w:rFonts w:ascii="Times New Roman" w:eastAsia="標楷體" w:hAnsi="Times New Roman" w:cs="Times New Roman" w:hint="eastAsia"/>
          <w:sz w:val="28"/>
          <w:szCs w:val="28"/>
        </w:rPr>
        <w:t>檢結果單位檢據辦理核銷</w:t>
      </w:r>
      <w:r w:rsidR="0049470F" w:rsidRPr="00C069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56EBB2E" w14:textId="339122D8" w:rsidR="00FC1D9E" w:rsidRPr="00C069D8" w:rsidRDefault="00E02FF2" w:rsidP="00B42F29">
      <w:pPr>
        <w:pStyle w:val="a6"/>
        <w:numPr>
          <w:ilvl w:val="0"/>
          <w:numId w:val="10"/>
        </w:numPr>
        <w:spacing w:line="440" w:lineRule="exact"/>
        <w:ind w:left="156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前述</w:t>
      </w:r>
      <w:r w:rsidR="0049470F" w:rsidRPr="00C069D8">
        <w:rPr>
          <w:rFonts w:ascii="Times New Roman" w:eastAsia="標楷體" w:hAnsi="Times New Roman" w:cs="Times New Roman"/>
          <w:sz w:val="28"/>
          <w:szCs w:val="28"/>
        </w:rPr>
        <w:t>核銷資料繳交方式或</w:t>
      </w:r>
      <w:r w:rsidR="00E77FF0" w:rsidRPr="00C069D8">
        <w:rPr>
          <w:rFonts w:ascii="Times New Roman" w:eastAsia="標楷體" w:hAnsi="Times New Roman" w:cs="Times New Roman" w:hint="eastAsia"/>
          <w:sz w:val="28"/>
          <w:szCs w:val="28"/>
        </w:rPr>
        <w:t>資料</w:t>
      </w:r>
      <w:r w:rsidR="0049470F" w:rsidRPr="00C069D8">
        <w:rPr>
          <w:rFonts w:ascii="Times New Roman" w:eastAsia="標楷體" w:hAnsi="Times New Roman" w:cs="Times New Roman"/>
          <w:sz w:val="28"/>
          <w:szCs w:val="28"/>
        </w:rPr>
        <w:t>填報格式如有新增或異動，以甲方通知為</w:t>
      </w:r>
      <w:proofErr w:type="gramStart"/>
      <w:r w:rsidR="0049470F" w:rsidRPr="00C069D8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49470F" w:rsidRPr="00C069D8">
        <w:rPr>
          <w:rFonts w:ascii="Times New Roman" w:eastAsia="標楷體" w:hAnsi="Times New Roman" w:cs="Times New Roman"/>
          <w:sz w:val="28"/>
          <w:szCs w:val="28"/>
        </w:rPr>
        <w:t>並配合辦理。</w:t>
      </w:r>
    </w:p>
    <w:p w14:paraId="0AE76B91" w14:textId="5179C632" w:rsidR="00990217" w:rsidRPr="00C069D8" w:rsidRDefault="00990217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乙方應完成</w:t>
      </w:r>
      <w:r w:rsidR="00C4177A" w:rsidRPr="00C069D8">
        <w:rPr>
          <w:rFonts w:ascii="Times New Roman" w:eastAsia="標楷體" w:hAnsi="Times New Roman" w:cs="Times New Roman" w:hint="eastAsia"/>
          <w:sz w:val="28"/>
          <w:szCs w:val="28"/>
        </w:rPr>
        <w:t>視力篩檢之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檢查</w:t>
      </w:r>
      <w:r w:rsidR="00C4177A" w:rsidRPr="00C069D8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62860" w:rsidRPr="00C069D8">
        <w:rPr>
          <w:rFonts w:ascii="Times New Roman" w:eastAsia="標楷體" w:hAnsi="Times New Roman" w:cs="Times New Roman" w:hint="eastAsia"/>
          <w:sz w:val="28"/>
          <w:szCs w:val="28"/>
        </w:rPr>
        <w:t>將篩檢結果</w:t>
      </w:r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或將</w:t>
      </w:r>
      <w:proofErr w:type="gramStart"/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檢完成個案之</w:t>
      </w:r>
      <w:proofErr w:type="gramStart"/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檢</w:t>
      </w:r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結果</w:t>
      </w:r>
      <w:r w:rsidR="00762860" w:rsidRPr="00C069D8">
        <w:rPr>
          <w:rFonts w:ascii="Times New Roman" w:eastAsia="標楷體" w:hAnsi="Times New Roman" w:cs="Times New Roman" w:hint="eastAsia"/>
          <w:sz w:val="28"/>
          <w:szCs w:val="28"/>
        </w:rPr>
        <w:t>登錄</w:t>
      </w:r>
      <w:r w:rsidR="00D661F0" w:rsidRPr="00C069D8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D661F0" w:rsidRPr="00C069D8">
        <w:rPr>
          <w:rFonts w:ascii="Times New Roman" w:eastAsia="標楷體" w:hAnsi="Times New Roman" w:cs="Times New Roman"/>
          <w:sz w:val="28"/>
          <w:szCs w:val="28"/>
        </w:rPr>
        <w:t>「婦幼健康管理整合系統」</w:t>
      </w:r>
      <w:r w:rsidR="00E853DB" w:rsidRPr="00C069D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42F29" w:rsidRPr="00C069D8">
        <w:rPr>
          <w:rFonts w:ascii="Times New Roman" w:eastAsia="標楷體" w:hAnsi="Times New Roman" w:cs="Times New Roman" w:hint="eastAsia"/>
          <w:sz w:val="28"/>
          <w:szCs w:val="28"/>
        </w:rPr>
        <w:t>始得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向甲方請領</w:t>
      </w:r>
      <w:r w:rsidR="00762860" w:rsidRPr="00C069D8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費用，檢查項目未</w:t>
      </w:r>
      <w:r w:rsidR="00B977ED" w:rsidRPr="00C069D8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211E0A" w:rsidRPr="00C069D8">
        <w:rPr>
          <w:rFonts w:ascii="Times New Roman" w:eastAsia="標楷體" w:hAnsi="Times New Roman" w:cs="Times New Roman" w:hint="eastAsia"/>
          <w:sz w:val="28"/>
          <w:szCs w:val="28"/>
        </w:rPr>
        <w:t>或未</w:t>
      </w:r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於系統登錄者結果者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，不予支付費用。</w:t>
      </w:r>
    </w:p>
    <w:p w14:paraId="56A5D68A" w14:textId="6DF9CE2B" w:rsidR="00B977ED" w:rsidRPr="00C069D8" w:rsidRDefault="00B977ED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乙方應於每月</w:t>
      </w:r>
      <w:r w:rsidR="00295A26" w:rsidRPr="00C069D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日前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檢</w:t>
      </w:r>
      <w:r w:rsidR="005C151F" w:rsidRPr="00C069D8">
        <w:rPr>
          <w:rFonts w:ascii="Times New Roman" w:eastAsia="標楷體" w:hAnsi="Times New Roman" w:cs="Times New Roman" w:hint="eastAsia"/>
          <w:sz w:val="28"/>
          <w:szCs w:val="28"/>
        </w:rPr>
        <w:t>附</w:t>
      </w:r>
      <w:r w:rsidRPr="00C069D8">
        <w:rPr>
          <w:rFonts w:ascii="Times New Roman" w:eastAsia="標楷體" w:hAnsi="Times New Roman" w:cs="Times New Roman"/>
          <w:sz w:val="28"/>
          <w:szCs w:val="28"/>
        </w:rPr>
        <w:t>領據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、</w:t>
      </w:r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篩檢個案或</w:t>
      </w:r>
      <w:proofErr w:type="gramStart"/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檢個案</w:t>
      </w:r>
      <w:r w:rsidR="005C151F" w:rsidRPr="00C069D8">
        <w:rPr>
          <w:rFonts w:ascii="Times New Roman" w:eastAsia="標楷體" w:hAnsi="Times New Roman" w:cs="Times New Roman" w:hint="eastAsia"/>
          <w:sz w:val="28"/>
          <w:szCs w:val="28"/>
        </w:rPr>
        <w:t>明細表</w:t>
      </w:r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F7ABD" w:rsidRPr="00C069D8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1F7ABD" w:rsidRPr="00C069D8">
        <w:rPr>
          <w:rFonts w:ascii="Times New Roman" w:eastAsia="標楷體" w:hAnsi="Times New Roman" w:cs="Times New Roman"/>
          <w:sz w:val="28"/>
          <w:szCs w:val="28"/>
        </w:rPr>
        <w:t>「婦幼健康管理整合系統」</w:t>
      </w:r>
      <w:r w:rsidR="00B30543" w:rsidRPr="00C069D8">
        <w:rPr>
          <w:rFonts w:ascii="Times New Roman" w:eastAsia="標楷體" w:hAnsi="Times New Roman" w:cs="Times New Roman" w:hint="eastAsia"/>
          <w:sz w:val="28"/>
          <w:szCs w:val="28"/>
        </w:rPr>
        <w:t>匯出</w:t>
      </w:r>
      <w:r w:rsidR="00B30543" w:rsidRPr="00C069D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853DB" w:rsidRPr="00C069D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526AB" w:rsidRPr="00C069D8">
        <w:rPr>
          <w:rFonts w:ascii="Times New Roman" w:eastAsia="標楷體" w:hAnsi="Times New Roman" w:cs="Times New Roman" w:hint="eastAsia"/>
          <w:sz w:val="28"/>
          <w:szCs w:val="28"/>
        </w:rPr>
        <w:t>出勤簽到單、篩檢結果摘要等資料，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向</w:t>
      </w:r>
      <w:r w:rsidR="00907F29" w:rsidRPr="00C069D8">
        <w:rPr>
          <w:rFonts w:ascii="Times New Roman" w:eastAsia="標楷體" w:hAnsi="Times New Roman" w:cs="Times New Roman" w:hint="eastAsia"/>
          <w:sz w:val="28"/>
          <w:szCs w:val="28"/>
        </w:rPr>
        <w:t>甲方</w:t>
      </w:r>
      <w:r w:rsidRPr="00C069D8">
        <w:rPr>
          <w:rFonts w:ascii="Times New Roman" w:eastAsia="標楷體" w:hAnsi="Times New Roman" w:cs="Times New Roman"/>
          <w:sz w:val="28"/>
          <w:szCs w:val="28"/>
        </w:rPr>
        <w:t>請領</w:t>
      </w:r>
      <w:r w:rsidR="00B30543" w:rsidRPr="00C069D8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Pr="00C069D8">
        <w:rPr>
          <w:rFonts w:ascii="Times New Roman" w:eastAsia="標楷體" w:hAnsi="Times New Roman" w:cs="Times New Roman"/>
          <w:sz w:val="28"/>
          <w:szCs w:val="28"/>
        </w:rPr>
        <w:t>費用，經甲方確認無誤後始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予付款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；未於期限內送交者，乙方應自行負擔個案醫療服務所產生費用，如經費於檢查作業期間用罄，經甲方通知後，乙方須立即停止服務，如有疏漏應由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Pr="00C069D8">
        <w:rPr>
          <w:rFonts w:ascii="Times New Roman" w:eastAsia="標楷體" w:hAnsi="Times New Roman" w:cs="Times New Roman"/>
          <w:sz w:val="28"/>
          <w:szCs w:val="28"/>
        </w:rPr>
        <w:t>自負一切費用。</w:t>
      </w:r>
    </w:p>
    <w:p w14:paraId="34E4602C" w14:textId="4B0A891B" w:rsidR="00C443ED" w:rsidRPr="00C069D8" w:rsidRDefault="00875B41" w:rsidP="005C151F">
      <w:pPr>
        <w:pStyle w:val="a6"/>
        <w:numPr>
          <w:ilvl w:val="0"/>
          <w:numId w:val="11"/>
        </w:numPr>
        <w:spacing w:line="440" w:lineRule="exact"/>
        <w:ind w:left="156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篩檢個案或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檢個案明細表</w:t>
      </w:r>
      <w:r w:rsidR="00C443ED" w:rsidRPr="00C069D8">
        <w:rPr>
          <w:rFonts w:ascii="Times New Roman" w:eastAsia="標楷體" w:hAnsi="Times New Roman" w:cs="Times New Roman"/>
          <w:sz w:val="28"/>
          <w:szCs w:val="28"/>
        </w:rPr>
        <w:t>應</w:t>
      </w:r>
      <w:r w:rsidR="004A1A75" w:rsidRPr="00C069D8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C443ED" w:rsidRPr="00C069D8">
        <w:rPr>
          <w:rFonts w:ascii="Times New Roman" w:eastAsia="標楷體" w:hAnsi="Times New Roman" w:cs="Times New Roman"/>
          <w:sz w:val="28"/>
          <w:szCs w:val="28"/>
        </w:rPr>
        <w:t>單位主管</w:t>
      </w:r>
      <w:r w:rsidR="003E3709" w:rsidRPr="00C069D8">
        <w:rPr>
          <w:rFonts w:ascii="Times New Roman" w:eastAsia="標楷體" w:hAnsi="Times New Roman" w:cs="Times New Roman"/>
          <w:sz w:val="28"/>
          <w:szCs w:val="28"/>
        </w:rPr>
        <w:t>及</w:t>
      </w:r>
      <w:r w:rsidR="00C443ED" w:rsidRPr="00C069D8">
        <w:rPr>
          <w:rFonts w:ascii="Times New Roman" w:eastAsia="標楷體" w:hAnsi="Times New Roman" w:cs="Times New Roman"/>
          <w:sz w:val="28"/>
          <w:szCs w:val="28"/>
        </w:rPr>
        <w:t>製</w:t>
      </w:r>
      <w:proofErr w:type="gramStart"/>
      <w:r w:rsidR="00C443ED" w:rsidRPr="00C069D8">
        <w:rPr>
          <w:rFonts w:ascii="Times New Roman" w:eastAsia="標楷體" w:hAnsi="Times New Roman" w:cs="Times New Roman"/>
          <w:sz w:val="28"/>
          <w:szCs w:val="28"/>
        </w:rPr>
        <w:t>表人核章</w:t>
      </w:r>
      <w:proofErr w:type="gramEnd"/>
      <w:r w:rsidR="00C443ED" w:rsidRPr="00C069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84A3A4C" w14:textId="26BD9F8E" w:rsidR="00C443ED" w:rsidRPr="00C069D8" w:rsidRDefault="00C443ED" w:rsidP="005C151F">
      <w:pPr>
        <w:pStyle w:val="a6"/>
        <w:numPr>
          <w:ilvl w:val="0"/>
          <w:numId w:val="11"/>
        </w:numPr>
        <w:spacing w:line="440" w:lineRule="exact"/>
        <w:ind w:left="156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領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據須加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蓋</w:t>
      </w:r>
      <w:r w:rsidR="005B5F26" w:rsidRPr="00C069D8">
        <w:rPr>
          <w:rFonts w:ascii="Times New Roman" w:eastAsia="標楷體" w:hAnsi="Times New Roman" w:cs="Times New Roman" w:hint="eastAsia"/>
          <w:sz w:val="28"/>
          <w:szCs w:val="28"/>
        </w:rPr>
        <w:t>機構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關防、</w:t>
      </w:r>
      <w:r w:rsidR="00256E6D" w:rsidRPr="00C069D8">
        <w:rPr>
          <w:rFonts w:ascii="Times New Roman" w:eastAsia="標楷體" w:hAnsi="Times New Roman" w:cs="Times New Roman" w:hint="eastAsia"/>
          <w:sz w:val="28"/>
          <w:szCs w:val="28"/>
        </w:rPr>
        <w:t>機構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負責人章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="00676103" w:rsidRPr="00C069D8">
        <w:rPr>
          <w:rFonts w:ascii="Times New Roman" w:eastAsia="標楷體" w:hAnsi="Times New Roman" w:cs="Times New Roman" w:hint="eastAsia"/>
          <w:sz w:val="28"/>
          <w:szCs w:val="28"/>
        </w:rPr>
        <w:t>契約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書所蓋之印信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，且主辦人員應核章，如有會計人員、出納人員亦應核章。</w:t>
      </w:r>
    </w:p>
    <w:p w14:paraId="12AB45F0" w14:textId="3F9A7534" w:rsidR="00C443ED" w:rsidRPr="00C069D8" w:rsidRDefault="00A82B3F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依據所得稅法及各類所得扣繳率標準第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條第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項第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款規定執行業務者之報酬按</w:t>
      </w:r>
      <w:proofErr w:type="gramStart"/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給付額扣取</w:t>
      </w:r>
      <w:proofErr w:type="gramEnd"/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百分之</w:t>
      </w:r>
      <w:proofErr w:type="gramStart"/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10</w:t>
      </w:r>
      <w:proofErr w:type="gramEnd"/>
      <w:r w:rsidR="00C443ED" w:rsidRPr="00C069D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47CAA0" w14:textId="3993819F" w:rsidR="00B42F29" w:rsidRPr="00C069D8" w:rsidRDefault="00C443ED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乙方應依據印花稅法第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條第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款「銀錢收據：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每件按金額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千分之四，由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立據人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貼印花稅票。」規定，申報案件務必貼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附每件按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金額千分之四之印花稅票，或蓋有「印花稅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總繳章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」，或領據加</w:t>
      </w:r>
      <w:proofErr w:type="gramStart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C069D8">
        <w:rPr>
          <w:rFonts w:ascii="Times New Roman" w:eastAsia="標楷體" w:hAnsi="Times New Roman" w:cs="Times New Roman" w:hint="eastAsia"/>
          <w:sz w:val="28"/>
          <w:szCs w:val="28"/>
        </w:rPr>
        <w:t>「免繳印花稅」字樣，以資證明。</w:t>
      </w:r>
    </w:p>
    <w:p w14:paraId="237C2E0A" w14:textId="781B8AD2" w:rsidR="001E42B2" w:rsidRPr="00C069D8" w:rsidRDefault="001E42B2" w:rsidP="00190248">
      <w:pPr>
        <w:pStyle w:val="a6"/>
        <w:numPr>
          <w:ilvl w:val="0"/>
          <w:numId w:val="1"/>
        </w:numPr>
        <w:spacing w:line="440" w:lineRule="exact"/>
        <w:ind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1" w:name="_Hlk187417933"/>
      <w:r w:rsidRPr="00C069D8">
        <w:rPr>
          <w:rFonts w:ascii="Times New Roman" w:eastAsia="標楷體" w:hAnsi="Times New Roman" w:cs="Times New Roman"/>
          <w:sz w:val="28"/>
          <w:szCs w:val="28"/>
        </w:rPr>
        <w:t>本計畫服務期程</w:t>
      </w:r>
      <w:r w:rsidR="00D02EFB" w:rsidRPr="00C069D8">
        <w:rPr>
          <w:rFonts w:ascii="Times New Roman" w:eastAsia="標楷體" w:hAnsi="Times New Roman" w:cs="Times New Roman"/>
          <w:sz w:val="28"/>
          <w:szCs w:val="28"/>
        </w:rPr>
        <w:t>自簽約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日起至</w:t>
      </w:r>
      <w:r w:rsidR="00D02EFB" w:rsidRPr="00C069D8">
        <w:rPr>
          <w:rFonts w:ascii="Times New Roman" w:eastAsia="標楷體" w:hAnsi="Times New Roman" w:cs="Times New Roman"/>
          <w:sz w:val="28"/>
          <w:szCs w:val="28"/>
        </w:rPr>
        <w:t>11</w:t>
      </w:r>
      <w:r w:rsidR="374ECC2D" w:rsidRPr="00C069D8">
        <w:rPr>
          <w:rFonts w:ascii="Times New Roman" w:eastAsia="標楷體" w:hAnsi="Times New Roman" w:cs="Times New Roman"/>
          <w:sz w:val="28"/>
          <w:szCs w:val="28"/>
        </w:rPr>
        <w:t>5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年</w:t>
      </w:r>
      <w:r w:rsidR="05C9888F" w:rsidRPr="00C069D8">
        <w:rPr>
          <w:rFonts w:ascii="Times New Roman" w:eastAsia="標楷體" w:hAnsi="Times New Roman" w:cs="Times New Roman"/>
          <w:sz w:val="28"/>
          <w:szCs w:val="28"/>
        </w:rPr>
        <w:t>6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月</w:t>
      </w:r>
      <w:r w:rsidR="2823B074" w:rsidRPr="00C069D8">
        <w:rPr>
          <w:rFonts w:ascii="Times New Roman" w:eastAsia="標楷體" w:hAnsi="Times New Roman" w:cs="Times New Roman"/>
          <w:sz w:val="28"/>
          <w:szCs w:val="28"/>
        </w:rPr>
        <w:t>3</w:t>
      </w:r>
      <w:r w:rsidRPr="00C069D8">
        <w:rPr>
          <w:rFonts w:ascii="Times New Roman" w:eastAsia="標楷體" w:hAnsi="Times New Roman" w:cs="Times New Roman"/>
          <w:sz w:val="28"/>
          <w:szCs w:val="28"/>
        </w:rPr>
        <w:t>0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日止。</w:t>
      </w:r>
      <w:bookmarkEnd w:id="1"/>
      <w:r w:rsidRPr="00C069D8">
        <w:rPr>
          <w:rFonts w:ascii="Times New Roman" w:eastAsia="標楷體" w:hAnsi="Times New Roman" w:cs="Times New Roman"/>
          <w:sz w:val="28"/>
          <w:szCs w:val="28"/>
        </w:rPr>
        <w:t>乙方應妥善安排受檢者於服務期程內受檢，期程內執行之個案，最晚應於</w:t>
      </w:r>
      <w:r w:rsidR="00BD208D" w:rsidRPr="00C069D8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年</w:t>
      </w:r>
      <w:r w:rsidR="00BD208D" w:rsidRPr="00C069D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月</w:t>
      </w:r>
      <w:r w:rsidR="00BD208D" w:rsidRPr="00C069D8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日前將相關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文件送甲方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審查，完成申請費用事宜。</w:t>
      </w:r>
    </w:p>
    <w:p w14:paraId="63468949" w14:textId="40AD4C05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乙方應配合甲方推動</w:t>
      </w:r>
      <w:r w:rsidR="00B977ED" w:rsidRPr="00C069D8">
        <w:rPr>
          <w:rFonts w:ascii="Times New Roman" w:eastAsia="標楷體" w:hAnsi="Times New Roman" w:cs="Times New Roman" w:hint="eastAsia"/>
          <w:sz w:val="28"/>
          <w:szCs w:val="28"/>
        </w:rPr>
        <w:t>學齡前</w:t>
      </w:r>
      <w:r w:rsidR="00A80242" w:rsidRPr="00C069D8">
        <w:rPr>
          <w:rFonts w:ascii="Times New Roman" w:eastAsia="標楷體" w:hAnsi="Times New Roman" w:cs="Times New Roman" w:hint="eastAsia"/>
          <w:sz w:val="28"/>
          <w:szCs w:val="28"/>
        </w:rPr>
        <w:t>兒童視力篩檢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相關業務；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當甲方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辦理</w:t>
      </w:r>
      <w:r w:rsidR="00A80242" w:rsidRPr="00C069D8">
        <w:rPr>
          <w:rFonts w:ascii="Times New Roman" w:eastAsia="標楷體" w:hAnsi="Times New Roman" w:cs="Times New Roman" w:hint="eastAsia"/>
          <w:sz w:val="28"/>
          <w:szCs w:val="28"/>
        </w:rPr>
        <w:t>學齡前兒童視力篩檢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作業相關說明會，乙方應參加並遵守甲方相關流程規範。</w:t>
      </w:r>
    </w:p>
    <w:p w14:paraId="240D9727" w14:textId="1D64B638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甲方對於乙方之執行有督導之權；乙方應盡善良管理人注意義務確實執行</w:t>
      </w:r>
      <w:r w:rsidR="009B1E02" w:rsidRPr="00C069D8">
        <w:rPr>
          <w:rFonts w:ascii="Times New Roman" w:eastAsia="標楷體" w:hAnsi="Times New Roman" w:cs="Times New Roman" w:hint="eastAsia"/>
          <w:sz w:val="28"/>
          <w:szCs w:val="28"/>
        </w:rPr>
        <w:t>學齡前兒童視力篩檢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服務。</w:t>
      </w:r>
    </w:p>
    <w:p w14:paraId="2979A73C" w14:textId="5EE4AF1E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乙方履約期限內有以下情形之一，甲方得終止契約，並作為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締約之參考</w:t>
      </w:r>
      <w:r w:rsidRPr="00C069D8">
        <w:rPr>
          <w:rFonts w:eastAsia="標楷體"/>
          <w:sz w:val="28"/>
          <w:szCs w:val="28"/>
        </w:rPr>
        <w:t>：</w:t>
      </w:r>
    </w:p>
    <w:p w14:paraId="758F63A8" w14:textId="3FF89847" w:rsidR="00907F29" w:rsidRPr="00C069D8" w:rsidRDefault="00061417" w:rsidP="00907F29">
      <w:pPr>
        <w:pStyle w:val="a6"/>
        <w:numPr>
          <w:ilvl w:val="0"/>
          <w:numId w:val="4"/>
        </w:numPr>
        <w:spacing w:line="440" w:lineRule="exact"/>
        <w:ind w:left="1985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簽約後未進行服務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，經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多次勸導且未改善者。</w:t>
      </w:r>
    </w:p>
    <w:p w14:paraId="27271769" w14:textId="6F56F204" w:rsidR="00031F42" w:rsidRPr="00C069D8" w:rsidRDefault="00061417">
      <w:pPr>
        <w:pStyle w:val="a6"/>
        <w:numPr>
          <w:ilvl w:val="0"/>
          <w:numId w:val="4"/>
        </w:numPr>
        <w:spacing w:line="440" w:lineRule="exact"/>
        <w:ind w:left="1985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有事實足以認定其執行職務違反全民健康保險法及相關法令者，情節重大。</w:t>
      </w:r>
    </w:p>
    <w:p w14:paraId="21B9D7A9" w14:textId="37B3AC8E" w:rsidR="00031F42" w:rsidRPr="00C069D8" w:rsidRDefault="00061417">
      <w:pPr>
        <w:pStyle w:val="a6"/>
        <w:numPr>
          <w:ilvl w:val="0"/>
          <w:numId w:val="4"/>
        </w:numPr>
        <w:spacing w:line="440" w:lineRule="exact"/>
        <w:ind w:left="1985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經</w:t>
      </w:r>
      <w:r w:rsidR="00907F29" w:rsidRPr="00C069D8">
        <w:rPr>
          <w:rFonts w:ascii="Times New Roman" w:eastAsia="標楷體" w:hAnsi="Times New Roman" w:cs="Times New Roman" w:hint="eastAsia"/>
          <w:sz w:val="28"/>
          <w:szCs w:val="28"/>
        </w:rPr>
        <w:t>衛生福利部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中央健康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保險署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予以停止特約或終止特約者。</w:t>
      </w:r>
    </w:p>
    <w:p w14:paraId="36C8FFB1" w14:textId="2EF93B58" w:rsidR="00031F42" w:rsidRPr="00C069D8" w:rsidRDefault="00061417" w:rsidP="00907F29">
      <w:pPr>
        <w:pStyle w:val="a6"/>
        <w:numPr>
          <w:ilvl w:val="0"/>
          <w:numId w:val="4"/>
        </w:numPr>
        <w:spacing w:line="440" w:lineRule="exact"/>
        <w:ind w:left="1985" w:hanging="709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以</w:t>
      </w:r>
      <w:bookmarkStart w:id="2" w:name="_Hlk56417169"/>
      <w:r w:rsidRPr="00C069D8">
        <w:rPr>
          <w:rFonts w:ascii="Times New Roman" w:eastAsia="標楷體" w:hAnsi="Times New Roman" w:cs="Times New Roman"/>
          <w:sz w:val="28"/>
          <w:szCs w:val="28"/>
        </w:rPr>
        <w:t>偽</w:t>
      </w:r>
      <w:bookmarkEnd w:id="2"/>
      <w:r w:rsidRPr="00C069D8">
        <w:rPr>
          <w:rFonts w:ascii="Times New Roman" w:eastAsia="標楷體" w:hAnsi="Times New Roman" w:cs="Times New Roman"/>
          <w:sz w:val="28"/>
          <w:szCs w:val="28"/>
        </w:rPr>
        <w:t>造、變造或其他不實診療紀錄請款者，除終止契約外，並依相關法律追究責任及追回違規所得之補助款，且涉及刑責者移送司法機關辦理。</w:t>
      </w:r>
    </w:p>
    <w:p w14:paraId="37841C92" w14:textId="78BCD4F3" w:rsidR="00907F29" w:rsidRPr="00C069D8" w:rsidRDefault="00907F29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lastRenderedPageBreak/>
        <w:t>基於資訊安全，舉凡個人資料，乙方及乙方之受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僱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人必須遵守個人資料保護法及其施行細則規定等相關法令，對所有資料負完全且永久保密責任，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應自行監督之，落實保密及內控機制；乙方蒐集、處理或利用個人資料者，應於履行本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契</w:t>
      </w:r>
      <w:r w:rsidRPr="00C069D8">
        <w:rPr>
          <w:rFonts w:ascii="Times New Roman" w:eastAsia="標楷體" w:hAnsi="Times New Roman" w:cs="Times New Roman"/>
          <w:sz w:val="28"/>
          <w:szCs w:val="28"/>
        </w:rPr>
        <w:t>約範圍、期間內為之，不得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委託他人辦理；違反資訊安全、個人資料保護法等相關規定，並由乙方自負相關法律責任</w:t>
      </w:r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；</w:t>
      </w:r>
      <w:proofErr w:type="gramStart"/>
      <w:r w:rsidR="00C36FC8" w:rsidRPr="00C069D8">
        <w:rPr>
          <w:rFonts w:ascii="Times New Roman" w:eastAsia="標楷體" w:hAnsi="Times New Roman" w:cs="Times New Roman" w:hint="eastAsia"/>
          <w:sz w:val="28"/>
          <w:szCs w:val="28"/>
        </w:rPr>
        <w:t>如致</w:t>
      </w:r>
      <w:r w:rsidR="00C36FC8" w:rsidRPr="00C069D8">
        <w:rPr>
          <w:rFonts w:ascii="標楷體" w:eastAsia="標楷體" w:hAnsi="標楷體" w:hint="eastAsia"/>
          <w:sz w:val="28"/>
          <w:szCs w:val="22"/>
        </w:rPr>
        <w:t>甲方</w:t>
      </w:r>
      <w:proofErr w:type="gramEnd"/>
      <w:r w:rsidR="00C36FC8" w:rsidRPr="00C069D8">
        <w:rPr>
          <w:rFonts w:ascii="標楷體" w:eastAsia="標楷體" w:hAnsi="標楷體" w:hint="eastAsia"/>
          <w:sz w:val="28"/>
          <w:szCs w:val="22"/>
        </w:rPr>
        <w:t>受有損害，甲方得向乙方請求賠償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2D70863" w14:textId="4558FDE9" w:rsidR="00907F29" w:rsidRPr="00C069D8" w:rsidRDefault="00907F29" w:rsidP="00907F29">
      <w:pPr>
        <w:pStyle w:val="a6"/>
        <w:spacing w:line="440" w:lineRule="exact"/>
        <w:ind w:left="1134"/>
        <w:jc w:val="both"/>
        <w:rPr>
          <w:rFonts w:ascii="標楷體" w:eastAsia="標楷體" w:hAnsi="標楷體"/>
          <w:sz w:val="28"/>
          <w:szCs w:val="22"/>
        </w:rPr>
      </w:pPr>
      <w:r w:rsidRPr="00C069D8">
        <w:rPr>
          <w:rFonts w:ascii="標楷體" w:eastAsia="標楷體" w:hAnsi="標楷體" w:hint="eastAsia"/>
          <w:sz w:val="28"/>
          <w:szCs w:val="22"/>
        </w:rPr>
        <w:t>乙方如為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醫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事專業相關之公(協)會，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其媒合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執行本計畫之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醫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事人員視同前項之受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僱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人。</w:t>
      </w:r>
    </w:p>
    <w:p w14:paraId="5805EC10" w14:textId="7F427897" w:rsidR="00031F42" w:rsidRPr="00C069D8" w:rsidRDefault="00F42E5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提供之資料錯誤超過</w:t>
      </w:r>
      <w:r w:rsidR="00061417" w:rsidRPr="00C069D8">
        <w:rPr>
          <w:rFonts w:ascii="Times New Roman" w:eastAsia="標楷體" w:hAnsi="Times New Roman" w:cs="Times New Roman"/>
          <w:sz w:val="28"/>
          <w:szCs w:val="28"/>
        </w:rPr>
        <w:t xml:space="preserve"> 5</w:t>
      </w:r>
      <w:r w:rsidR="00061417" w:rsidRPr="00C069D8">
        <w:rPr>
          <w:rFonts w:ascii="Times New Roman" w:eastAsia="標楷體" w:hAnsi="Times New Roman" w:cs="Times New Roman"/>
          <w:sz w:val="28"/>
          <w:szCs w:val="28"/>
        </w:rPr>
        <w:t>％時，列為下年度續約之參考依據，包含：</w:t>
      </w:r>
    </w:p>
    <w:p w14:paraId="763DF594" w14:textId="487AB181" w:rsidR="00031F42" w:rsidRPr="00C069D8" w:rsidRDefault="00061417">
      <w:pPr>
        <w:pStyle w:val="a6"/>
        <w:numPr>
          <w:ilvl w:val="0"/>
          <w:numId w:val="5"/>
        </w:numPr>
        <w:spacing w:line="440" w:lineRule="exact"/>
        <w:ind w:left="1985" w:hanging="567"/>
        <w:jc w:val="both"/>
        <w:rPr>
          <w:rFonts w:eastAsia="標楷體" w:hint="eastAsia"/>
          <w:sz w:val="28"/>
          <w:szCs w:val="28"/>
        </w:rPr>
      </w:pPr>
      <w:r w:rsidRPr="00C069D8">
        <w:rPr>
          <w:rFonts w:eastAsia="標楷體"/>
          <w:sz w:val="28"/>
          <w:szCs w:val="28"/>
        </w:rPr>
        <w:t>受檢者未符合資格者不予給付，</w:t>
      </w:r>
      <w:r w:rsidR="00BB699C" w:rsidRPr="00C069D8">
        <w:rPr>
          <w:rFonts w:eastAsia="標楷體" w:hint="eastAsia"/>
          <w:sz w:val="28"/>
          <w:szCs w:val="28"/>
        </w:rPr>
        <w:t>乙方</w:t>
      </w:r>
      <w:r w:rsidRPr="00C069D8">
        <w:rPr>
          <w:rFonts w:eastAsia="標楷體"/>
          <w:sz w:val="28"/>
          <w:szCs w:val="28"/>
        </w:rPr>
        <w:t>應確實審核無誤後，始</w:t>
      </w:r>
      <w:proofErr w:type="gramStart"/>
      <w:r w:rsidRPr="00C069D8">
        <w:rPr>
          <w:rFonts w:eastAsia="標楷體"/>
          <w:sz w:val="28"/>
          <w:szCs w:val="28"/>
        </w:rPr>
        <w:t>可送</w:t>
      </w:r>
      <w:r w:rsidR="00907F29" w:rsidRPr="00C069D8">
        <w:rPr>
          <w:rFonts w:eastAsia="標楷體" w:hint="eastAsia"/>
          <w:sz w:val="28"/>
          <w:szCs w:val="28"/>
        </w:rPr>
        <w:t>甲方</w:t>
      </w:r>
      <w:proofErr w:type="gramEnd"/>
      <w:r w:rsidRPr="00C069D8">
        <w:rPr>
          <w:rFonts w:eastAsia="標楷體"/>
          <w:sz w:val="28"/>
          <w:szCs w:val="28"/>
        </w:rPr>
        <w:t>核辦，資料錯誤不予列入計算核銷。</w:t>
      </w:r>
    </w:p>
    <w:p w14:paraId="2F34C3A2" w14:textId="4CFD6583" w:rsidR="00031F42" w:rsidRPr="00C069D8" w:rsidRDefault="00061417" w:rsidP="00F42E57">
      <w:pPr>
        <w:pStyle w:val="a6"/>
        <w:numPr>
          <w:ilvl w:val="0"/>
          <w:numId w:val="5"/>
        </w:numPr>
        <w:spacing w:line="440" w:lineRule="exact"/>
        <w:ind w:left="1985" w:hanging="567"/>
        <w:jc w:val="both"/>
        <w:rPr>
          <w:rFonts w:hint="eastAsia"/>
        </w:rPr>
      </w:pPr>
      <w:r w:rsidRPr="00C069D8">
        <w:rPr>
          <w:rFonts w:eastAsia="標楷體"/>
          <w:sz w:val="28"/>
          <w:szCs w:val="28"/>
        </w:rPr>
        <w:t>個人因素導致上傳或輸入</w:t>
      </w:r>
      <w:r w:rsidR="00696684" w:rsidRPr="00C069D8">
        <w:rPr>
          <w:rFonts w:ascii="Times New Roman" w:eastAsia="標楷體" w:hAnsi="Times New Roman" w:cs="Times New Roman"/>
          <w:sz w:val="28"/>
          <w:szCs w:val="28"/>
        </w:rPr>
        <w:t>「婦幼健康管理整合系統」</w:t>
      </w:r>
      <w:r w:rsidRPr="00C069D8">
        <w:rPr>
          <w:rFonts w:eastAsia="標楷體"/>
          <w:sz w:val="28"/>
          <w:szCs w:val="28"/>
        </w:rPr>
        <w:t>頁面資料</w:t>
      </w:r>
      <w:r w:rsidRPr="00C069D8">
        <w:rPr>
          <w:rFonts w:eastAsia="標楷體"/>
          <w:sz w:val="28"/>
          <w:szCs w:val="28"/>
        </w:rPr>
        <w:t>(</w:t>
      </w:r>
      <w:r w:rsidRPr="00C069D8">
        <w:rPr>
          <w:rFonts w:eastAsia="標楷體"/>
          <w:sz w:val="28"/>
          <w:szCs w:val="28"/>
        </w:rPr>
        <w:t>指受檢者基本資料、</w:t>
      </w:r>
      <w:r w:rsidR="00F42E57" w:rsidRPr="00C069D8">
        <w:rPr>
          <w:rFonts w:eastAsia="標楷體" w:hint="eastAsia"/>
          <w:sz w:val="28"/>
          <w:szCs w:val="28"/>
        </w:rPr>
        <w:t>檢查結果</w:t>
      </w:r>
      <w:r w:rsidRPr="00C069D8">
        <w:rPr>
          <w:rFonts w:eastAsia="標楷體"/>
          <w:sz w:val="28"/>
          <w:szCs w:val="28"/>
        </w:rPr>
        <w:t>報告</w:t>
      </w:r>
      <w:r w:rsidRPr="00C069D8">
        <w:rPr>
          <w:rFonts w:eastAsia="標楷體"/>
          <w:sz w:val="28"/>
          <w:szCs w:val="28"/>
        </w:rPr>
        <w:t>)</w:t>
      </w:r>
      <w:r w:rsidRPr="00C069D8">
        <w:rPr>
          <w:rFonts w:eastAsia="標楷體"/>
          <w:sz w:val="28"/>
          <w:szCs w:val="28"/>
        </w:rPr>
        <w:t>錯誤者。</w:t>
      </w:r>
    </w:p>
    <w:p w14:paraId="1641F944" w14:textId="77777777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甲方得隨時抽查乙方有關本契約之相關資料，乙方如有前述額外收費或重複申報或虛報情形、以詐欺或虛造之證明或報告及其他不正當行為而領取本契約補助者，應退還溢領之費用，並依醫療法及其相關規定裁處，涉及刑責者移送司法機關。</w:t>
      </w:r>
    </w:p>
    <w:p w14:paraId="7C047041" w14:textId="6EE70E3B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乙方或乙方之受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僱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人如違反委託事項、醫療法或其他法律之情事，</w:t>
      </w:r>
      <w:bookmarkStart w:id="3" w:name="_Hlk55466573"/>
      <w:r w:rsidRPr="00C069D8">
        <w:rPr>
          <w:rFonts w:ascii="Times New Roman" w:eastAsia="標楷體" w:hAnsi="Times New Roman" w:cs="Times New Roman"/>
          <w:sz w:val="28"/>
          <w:szCs w:val="28"/>
        </w:rPr>
        <w:t>甲方得隨時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函知乙方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終止契約，</w:t>
      </w:r>
      <w:bookmarkEnd w:id="3"/>
      <w:r w:rsidRPr="00C069D8">
        <w:rPr>
          <w:rFonts w:ascii="Times New Roman" w:eastAsia="標楷體" w:hAnsi="Times New Roman" w:cs="Times New Roman"/>
          <w:sz w:val="28"/>
          <w:szCs w:val="28"/>
        </w:rPr>
        <w:t>於終止契約後</w:t>
      </w:r>
      <w:r w:rsidRPr="00C069D8">
        <w:rPr>
          <w:rFonts w:ascii="Times New Roman" w:eastAsia="標楷體" w:hAnsi="Times New Roman" w:cs="Times New Roman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年內，甲方得不與乙方簽訂</w:t>
      </w:r>
      <w:r w:rsidR="00696684" w:rsidRPr="00C069D8">
        <w:rPr>
          <w:rFonts w:ascii="Times New Roman" w:eastAsia="標楷體" w:hAnsi="Times New Roman" w:cs="Times New Roman" w:hint="eastAsia"/>
          <w:sz w:val="28"/>
          <w:szCs w:val="28"/>
        </w:rPr>
        <w:t>學齡前兒童視力篩檢</w:t>
      </w:r>
      <w:r w:rsidR="00F42E57" w:rsidRPr="00C069D8">
        <w:rPr>
          <w:rFonts w:ascii="Times New Roman" w:eastAsia="標楷體" w:hAnsi="Times New Roman" w:cs="Times New Roman" w:hint="eastAsia"/>
          <w:sz w:val="28"/>
          <w:szCs w:val="28"/>
        </w:rPr>
        <w:t>服務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委託契約；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如致甲方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遭受損害或損失，乙方應對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甲方負賠償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責任並負相關法律責任。</w:t>
      </w:r>
    </w:p>
    <w:p w14:paraId="3119D061" w14:textId="6FA5C3E4" w:rsidR="00907F29" w:rsidRPr="00C069D8" w:rsidRDefault="00907F29" w:rsidP="00907F29">
      <w:pPr>
        <w:pStyle w:val="a6"/>
        <w:spacing w:line="440" w:lineRule="exact"/>
        <w:ind w:left="1134"/>
        <w:jc w:val="both"/>
        <w:rPr>
          <w:rFonts w:hint="eastAsia"/>
        </w:rPr>
      </w:pPr>
      <w:r w:rsidRPr="00C069D8">
        <w:rPr>
          <w:rFonts w:ascii="標楷體" w:eastAsia="標楷體" w:hAnsi="標楷體" w:hint="eastAsia"/>
          <w:sz w:val="28"/>
          <w:szCs w:val="22"/>
        </w:rPr>
        <w:t>乙方如為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醫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事專業相關之公(協)會，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其媒合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執行本計畫之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醫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事人員視同前項之受</w:t>
      </w:r>
      <w:proofErr w:type="gramStart"/>
      <w:r w:rsidRPr="00C069D8">
        <w:rPr>
          <w:rFonts w:ascii="標楷體" w:eastAsia="標楷體" w:hAnsi="標楷體" w:hint="eastAsia"/>
          <w:sz w:val="28"/>
          <w:szCs w:val="22"/>
        </w:rPr>
        <w:t>僱</w:t>
      </w:r>
      <w:proofErr w:type="gramEnd"/>
      <w:r w:rsidRPr="00C069D8">
        <w:rPr>
          <w:rFonts w:ascii="標楷體" w:eastAsia="標楷體" w:hAnsi="標楷體" w:hint="eastAsia"/>
          <w:sz w:val="28"/>
          <w:szCs w:val="22"/>
        </w:rPr>
        <w:t>人。</w:t>
      </w:r>
    </w:p>
    <w:p w14:paraId="5153638D" w14:textId="77777777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乙方如侵害受檢者權益、與受檢者發生醫療糾紛，應自行負責且負法律責任。受檢者如依國家賠償法向甲方請求賠償，甲方依法辦理後，得向乙方求償。</w:t>
      </w:r>
    </w:p>
    <w:p w14:paraId="071EEE78" w14:textId="77777777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本契約有效期間內，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甲乙雙方如有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契約所約定範圍之變更</w:t>
      </w:r>
      <w:r w:rsidRPr="00C069D8">
        <w:rPr>
          <w:rFonts w:ascii="Times New Roman" w:eastAsia="標楷體" w:hAnsi="Times New Roman" w:cs="Times New Roman"/>
          <w:sz w:val="28"/>
          <w:szCs w:val="28"/>
        </w:rPr>
        <w:t>(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例如：負責人、院所名稱、地址等等</w:t>
      </w:r>
      <w:r w:rsidRPr="00C069D8">
        <w:rPr>
          <w:rFonts w:ascii="Times New Roman" w:eastAsia="標楷體" w:hAnsi="Times New Roman" w:cs="Times New Roman"/>
          <w:sz w:val="28"/>
          <w:szCs w:val="28"/>
        </w:rPr>
        <w:t>)</w:t>
      </w:r>
      <w:r w:rsidRPr="00C069D8">
        <w:rPr>
          <w:rFonts w:ascii="Times New Roman" w:eastAsia="標楷體" w:hAnsi="Times New Roman" w:cs="Times New Roman"/>
          <w:sz w:val="28"/>
          <w:szCs w:val="28"/>
        </w:rPr>
        <w:t>，應於</w:t>
      </w:r>
      <w:r w:rsidRPr="00C069D8">
        <w:rPr>
          <w:rFonts w:ascii="Times New Roman" w:eastAsia="標楷體" w:hAnsi="Times New Roman" w:cs="Times New Roman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個月以前主動告知甲方，辦理相關事宜；乙方欲終止契約，應於</w:t>
      </w:r>
      <w:r w:rsidRPr="00C069D8">
        <w:rPr>
          <w:rFonts w:ascii="Times New Roman" w:eastAsia="標楷體" w:hAnsi="Times New Roman" w:cs="Times New Roman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個月以前以主動通知甲方將終止契約，經雙方同意後，</w:t>
      </w:r>
      <w:r w:rsidRPr="00C069D8">
        <w:rPr>
          <w:rFonts w:eastAsia="標楷體"/>
          <w:sz w:val="28"/>
          <w:szCs w:val="28"/>
        </w:rPr>
        <w:t>始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得終止本契約，但已預約之受檢者，應於終止契約以前執行完畢。</w:t>
      </w:r>
    </w:p>
    <w:p w14:paraId="48AF27B1" w14:textId="6F06A247" w:rsidR="00031F42" w:rsidRPr="00C069D8" w:rsidRDefault="00F42E5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本計畫經費</w:t>
      </w:r>
      <w:r w:rsidR="002E1D56" w:rsidRPr="00C069D8">
        <w:rPr>
          <w:rFonts w:ascii="Times New Roman" w:eastAsia="標楷體" w:hAnsi="Times New Roman" w:cs="Times New Roman" w:hint="eastAsia"/>
          <w:sz w:val="28"/>
          <w:szCs w:val="28"/>
        </w:rPr>
        <w:t>來源</w:t>
      </w:r>
      <w:r w:rsidR="00AC32F1" w:rsidRPr="00C069D8">
        <w:rPr>
          <w:rFonts w:ascii="Times New Roman" w:eastAsia="標楷體" w:hAnsi="Times New Roman" w:cs="Times New Roman" w:hint="eastAsia"/>
          <w:sz w:val="28"/>
          <w:szCs w:val="28"/>
        </w:rPr>
        <w:t>係為衛生福利部國民</w:t>
      </w:r>
      <w:proofErr w:type="gramStart"/>
      <w:r w:rsidR="00AC32F1" w:rsidRPr="00C069D8">
        <w:rPr>
          <w:rFonts w:ascii="Times New Roman" w:eastAsia="標楷體" w:hAnsi="Times New Roman" w:cs="Times New Roman" w:hint="eastAsia"/>
          <w:sz w:val="28"/>
          <w:szCs w:val="28"/>
        </w:rPr>
        <w:t>健康署</w:t>
      </w:r>
      <w:proofErr w:type="gramEnd"/>
      <w:r w:rsidR="002E1D56" w:rsidRPr="00C069D8">
        <w:rPr>
          <w:rFonts w:ascii="Times New Roman" w:eastAsia="標楷體" w:hAnsi="Times New Roman" w:cs="Times New Roman" w:hint="eastAsia"/>
          <w:sz w:val="28"/>
          <w:szCs w:val="28"/>
        </w:rPr>
        <w:t>補助，</w:t>
      </w:r>
      <w:r w:rsidR="00B16ACF" w:rsidRPr="00C069D8">
        <w:rPr>
          <w:rFonts w:ascii="Times New Roman" w:eastAsia="標楷體" w:hAnsi="Times New Roman" w:cs="Times New Roman" w:hint="eastAsia"/>
          <w:sz w:val="28"/>
          <w:szCs w:val="28"/>
        </w:rPr>
        <w:t>需依「附屬單位預算執行要點」規定，辦理納入地方預算、決算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t>之核撥，須經議會審議，</w:t>
      </w:r>
      <w:r w:rsidRPr="00C069D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並通過法定程序後方可辦理，倘計畫經費遭凍結、刪減或刪除，致無法如期動支或當年度經費用罄，甲方得視審議情形，暫緩支付、調整價金、解除或終止本補助計畫之經費申請。</w:t>
      </w:r>
    </w:p>
    <w:p w14:paraId="029290B0" w14:textId="77777777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134" w:hanging="850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如因本契約涉訟時，依行政訴訟法定第一審管轄法院。</w:t>
      </w:r>
    </w:p>
    <w:p w14:paraId="4BC56C2E" w14:textId="48949B3A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418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本契約如有未盡事宜，適用行政程序法、相關法令及</w:t>
      </w:r>
      <w:r w:rsidR="00907F29" w:rsidRPr="00C069D8">
        <w:rPr>
          <w:rFonts w:ascii="Times New Roman" w:eastAsia="標楷體" w:hAnsi="Times New Roman" w:cs="Times New Roman" w:hint="eastAsia"/>
          <w:sz w:val="28"/>
          <w:szCs w:val="28"/>
        </w:rPr>
        <w:t>甲方</w:t>
      </w:r>
      <w:r w:rsidRPr="00C069D8">
        <w:rPr>
          <w:rFonts w:ascii="Times New Roman" w:eastAsia="標楷體" w:hAnsi="Times New Roman" w:cs="Times New Roman"/>
          <w:sz w:val="28"/>
          <w:szCs w:val="28"/>
        </w:rPr>
        <w:t>有關規定；契約內容如生疑義，由甲方依公平合理原則解釋之，如有修正必要，經雙方協商同意後為之，並以書面載明。</w:t>
      </w:r>
    </w:p>
    <w:p w14:paraId="6FD3FC0C" w14:textId="7C59744A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418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本契約執行期間內，執行細節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得應</w:t>
      </w:r>
      <w:r w:rsidR="00907F29" w:rsidRPr="00C069D8">
        <w:rPr>
          <w:rFonts w:ascii="Times New Roman" w:eastAsia="標楷體" w:hAnsi="Times New Roman" w:cs="Times New Roman" w:hint="eastAsia"/>
          <w:sz w:val="28"/>
          <w:szCs w:val="28"/>
        </w:rPr>
        <w:t>甲方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政策需要在合理範圍內做彈性之調整。</w:t>
      </w:r>
    </w:p>
    <w:p w14:paraId="32795950" w14:textId="77777777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418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本契約未記載之事項依行政程序法及相關法律規定辦理。</w:t>
      </w:r>
    </w:p>
    <w:p w14:paraId="74641CC3" w14:textId="0DEAC39E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418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本契約</w:t>
      </w:r>
      <w:r w:rsidRPr="00C069D8">
        <w:rPr>
          <w:rFonts w:ascii="Times New Roman" w:eastAsia="標楷體" w:hAnsi="Times New Roman" w:cs="Times New Roman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式</w:t>
      </w:r>
      <w:r w:rsidR="009B1E02" w:rsidRPr="00C069D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份正本</w:t>
      </w:r>
      <w:r w:rsidRPr="00C069D8">
        <w:rPr>
          <w:rFonts w:ascii="Times New Roman" w:eastAsia="標楷體" w:hAnsi="Times New Roman" w:cs="Times New Roman"/>
          <w:sz w:val="28"/>
          <w:szCs w:val="28"/>
        </w:rPr>
        <w:t>(</w:t>
      </w:r>
      <w:r w:rsidRPr="00C069D8">
        <w:rPr>
          <w:rFonts w:ascii="Times New Roman" w:eastAsia="標楷體" w:hAnsi="Times New Roman" w:cs="Times New Roman"/>
          <w:sz w:val="28"/>
          <w:szCs w:val="28"/>
        </w:rPr>
        <w:t>甲方留存</w:t>
      </w:r>
      <w:r w:rsidR="009B1E02" w:rsidRPr="00C069D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份、乙方</w:t>
      </w:r>
      <w:r w:rsidRPr="00C069D8">
        <w:rPr>
          <w:rFonts w:ascii="Times New Roman" w:eastAsia="標楷體" w:hAnsi="Times New Roman" w:cs="Times New Roman"/>
          <w:sz w:val="28"/>
          <w:szCs w:val="28"/>
        </w:rPr>
        <w:t>1</w:t>
      </w:r>
      <w:r w:rsidRPr="00C069D8">
        <w:rPr>
          <w:rFonts w:ascii="Times New Roman" w:eastAsia="標楷體" w:hAnsi="Times New Roman" w:cs="Times New Roman"/>
          <w:sz w:val="28"/>
          <w:szCs w:val="28"/>
        </w:rPr>
        <w:t>份</w:t>
      </w:r>
      <w:r w:rsidRPr="00C069D8">
        <w:rPr>
          <w:rFonts w:ascii="Times New Roman" w:eastAsia="標楷體" w:hAnsi="Times New Roman" w:cs="Times New Roman"/>
          <w:sz w:val="28"/>
          <w:szCs w:val="28"/>
        </w:rPr>
        <w:t>)</w:t>
      </w:r>
      <w:r w:rsidRPr="00C069D8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C069D8">
        <w:rPr>
          <w:rFonts w:ascii="Times New Roman" w:eastAsia="標楷體" w:hAnsi="Times New Roman" w:cs="Times New Roman"/>
          <w:sz w:val="28"/>
          <w:szCs w:val="28"/>
        </w:rPr>
        <w:t>均於雙方</w:t>
      </w:r>
      <w:proofErr w:type="gramEnd"/>
      <w:r w:rsidRPr="00C069D8">
        <w:rPr>
          <w:rFonts w:ascii="Times New Roman" w:eastAsia="標楷體" w:hAnsi="Times New Roman" w:cs="Times New Roman"/>
          <w:sz w:val="28"/>
          <w:szCs w:val="28"/>
        </w:rPr>
        <w:t>完成簽署後生效。</w:t>
      </w:r>
    </w:p>
    <w:p w14:paraId="3FB068B7" w14:textId="0ECF2655" w:rsidR="00031F42" w:rsidRPr="00C069D8" w:rsidRDefault="00061417" w:rsidP="00190248">
      <w:pPr>
        <w:pStyle w:val="a6"/>
        <w:numPr>
          <w:ilvl w:val="0"/>
          <w:numId w:val="1"/>
        </w:numPr>
        <w:spacing w:line="440" w:lineRule="exact"/>
        <w:ind w:left="1418" w:hanging="1134"/>
        <w:jc w:val="both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28"/>
        </w:rPr>
        <w:t>立約人之簽署請見下頁。</w:t>
      </w:r>
    </w:p>
    <w:p w14:paraId="6DAE0254" w14:textId="40E456CE" w:rsidR="00031F42" w:rsidRPr="00C069D8" w:rsidRDefault="00DF421A" w:rsidP="004C13A5">
      <w:pPr>
        <w:pStyle w:val="a6"/>
        <w:pageBreakBefore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069D8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114</w:t>
      </w:r>
      <w:r w:rsidRPr="00C069D8">
        <w:rPr>
          <w:rFonts w:ascii="Times New Roman" w:eastAsia="標楷體" w:hAnsi="Times New Roman" w:cs="Times New Roman" w:hint="eastAsia"/>
          <w:b/>
          <w:sz w:val="32"/>
          <w:szCs w:val="32"/>
        </w:rPr>
        <w:t>學年度年</w:t>
      </w:r>
      <w:proofErr w:type="gramStart"/>
      <w:r w:rsidRPr="00C069D8">
        <w:rPr>
          <w:rFonts w:ascii="Times New Roman" w:eastAsia="標楷體" w:hAnsi="Times New Roman" w:cs="Times New Roman" w:hint="eastAsia"/>
          <w:b/>
          <w:sz w:val="32"/>
          <w:szCs w:val="32"/>
        </w:rPr>
        <w:t>臺</w:t>
      </w:r>
      <w:proofErr w:type="gramEnd"/>
      <w:r w:rsidRPr="00C069D8">
        <w:rPr>
          <w:rFonts w:ascii="Times New Roman" w:eastAsia="標楷體" w:hAnsi="Times New Roman" w:cs="Times New Roman" w:hint="eastAsia"/>
          <w:b/>
          <w:sz w:val="32"/>
          <w:szCs w:val="32"/>
        </w:rPr>
        <w:t>中市學齡前兒童視力篩檢試辦計畫</w:t>
      </w:r>
      <w:r w:rsidR="00061417" w:rsidRPr="00C069D8">
        <w:rPr>
          <w:rFonts w:ascii="Times New Roman" w:eastAsia="標楷體" w:hAnsi="Times New Roman" w:cs="Times New Roman"/>
          <w:b/>
          <w:sz w:val="32"/>
          <w:szCs w:val="32"/>
        </w:rPr>
        <w:t>委託契約書</w:t>
      </w:r>
    </w:p>
    <w:p w14:paraId="7877D5D3" w14:textId="77777777" w:rsidR="0073129C" w:rsidRPr="00C069D8" w:rsidRDefault="0073129C" w:rsidP="0073129C">
      <w:pPr>
        <w:pStyle w:val="a6"/>
        <w:snapToGrid w:val="0"/>
        <w:spacing w:line="400" w:lineRule="exact"/>
        <w:rPr>
          <w:rFonts w:ascii="Times New Roman" w:eastAsia="標楷體" w:hAnsi="Times New Roman" w:cs="Times New Roman"/>
          <w:b/>
          <w:sz w:val="20"/>
        </w:rPr>
      </w:pPr>
    </w:p>
    <w:p w14:paraId="513C26E6" w14:textId="679FCC91" w:rsidR="00031F42" w:rsidRPr="00C069D8" w:rsidRDefault="00061417" w:rsidP="0073129C">
      <w:pPr>
        <w:pStyle w:val="a6"/>
        <w:spacing w:line="600" w:lineRule="exact"/>
        <w:rPr>
          <w:rFonts w:hint="eastAsia"/>
        </w:rPr>
      </w:pPr>
      <w:r w:rsidRPr="00C069D8">
        <w:rPr>
          <w:rFonts w:ascii="Times New Roman" w:eastAsia="標楷體" w:hAnsi="Times New Roman" w:cs="Times New Roman"/>
          <w:b/>
          <w:sz w:val="32"/>
          <w:szCs w:val="32"/>
        </w:rPr>
        <w:t>立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>合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>約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2"/>
          <w:szCs w:val="32"/>
        </w:rPr>
        <w:t>人</w:t>
      </w:r>
    </w:p>
    <w:p w14:paraId="0BAD3281" w14:textId="77777777" w:rsidR="00031F42" w:rsidRPr="00C069D8" w:rsidRDefault="00061417">
      <w:pPr>
        <w:pStyle w:val="a6"/>
        <w:spacing w:line="820" w:lineRule="exact"/>
        <w:rPr>
          <w:rFonts w:hint="eastAsia"/>
        </w:rPr>
      </w:pPr>
      <w:r w:rsidRPr="00C069D8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5E666" wp14:editId="2424A7D4">
                <wp:simplePos x="0" y="0"/>
                <wp:positionH relativeFrom="column">
                  <wp:posOffset>4256403</wp:posOffset>
                </wp:positionH>
                <wp:positionV relativeFrom="paragraph">
                  <wp:posOffset>48262</wp:posOffset>
                </wp:positionV>
                <wp:extent cx="2361566" cy="2879729"/>
                <wp:effectExtent l="0" t="0" r="19684" b="15871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6" cy="2879729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F05EEC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甲</w:t>
                            </w:r>
                          </w:p>
                          <w:p w14:paraId="1E764AD8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方</w:t>
                            </w:r>
                          </w:p>
                          <w:p w14:paraId="3B220268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機</w:t>
                            </w:r>
                          </w:p>
                          <w:p w14:paraId="22C323A1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關</w:t>
                            </w:r>
                          </w:p>
                          <w:p w14:paraId="333A94C8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印</w:t>
                            </w:r>
                          </w:p>
                          <w:p w14:paraId="696A8675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5E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15pt;margin-top:3.8pt;width:185.95pt;height:226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F+9wEAANIDAAAOAAAAZHJzL2Uyb0RvYy54bWysU9uO0zAQfUfiHyy/01zoNtuo6Qq2KkJa&#10;sUhdPsBxnMaSY5ux26R8PWMndAu8IRTJ8cycHJ85nmwexl6RswAnja5otkgpEZqbRupjRb+97N/d&#10;U+I80w1TRouKXoSjD9u3bzaDLUVuOqMaAQRJtCsHW9HOe1smieOd6JlbGCs0FlsDPfMYwjFpgA3I&#10;3qskT9NVMhhoLBgunMPsbirSbeRvW8H9c9s64YmqKGrzcYW41mFNthtWHoHZTvJZBvsHFT2TGg+9&#10;Uu2YZ+QE8i+qXnIwzrR+wU2fmLaVXMQesJss/aObQ8esiL2gOc5ebXL/j5Z/OX8FIhu8O0o06/GK&#10;XsToyUczkjy4M1hXIuhgEeZHTAfknHeYDE2PLfThje0QrKPPl6u3gYxjMn+/yu5WK0o41vL7Yl3k&#10;68CTvH5uwflPwvQkbCoKeHnRU3Z+cn6C/oKE07TZS6Uwz0qlyYC68iLN4hfOKNmEaig6ONaPCsiZ&#10;4QwU+/DMB/8GC9Q75roJ1+BuRimNKoMNU7th58d6nD2oTXNBa/AXQMmdgR+UDDhOFXXfTwwEJeqz&#10;xvtaZ8tlmL8YLO+KHAO4rdS3FaY5UlWUe6BkCh79NLU4Npb5J32wPHg8GfHh5E0ro0dB3qRpVo2D&#10;E12ehzxM5m0cUa+/4vYnAAAA//8DAFBLAwQUAAYACAAAACEA085svd8AAAAKAQAADwAAAGRycy9k&#10;b3ducmV2LnhtbEyPTUvEMBiE74L/IbyCNzdpd+lKbbqI4MGDuK0ieHu3eW3LNh806Yf/3uxJj8MM&#10;M88Uh1UPbKbR99ZISDYCGJnGqt60Ej7en+/ugfmARuFgDUn4IQ+H8vqqwFzZxVQ016FlscT4HCV0&#10;Ibicc990pNFvrCMTvW87agxRji1XIy6xXA88FSLjGnsTFzp09NRRc64nLaH6mnE5updj7cLbFqvz&#10;9PnqJilvb9bHB2CB1vAXhgt+RIcyMp3sZJRng4RsL7YxKmGfAbv4YpemwE4SdlmSAC8L/v9C+QsA&#10;AP//AwBQSwECLQAUAAYACAAAACEAtoM4kv4AAADhAQAAEwAAAAAAAAAAAAAAAAAAAAAAW0NvbnRl&#10;bnRfVHlwZXNdLnhtbFBLAQItABQABgAIAAAAIQA4/SH/1gAAAJQBAAALAAAAAAAAAAAAAAAAAC8B&#10;AABfcmVscy8ucmVsc1BLAQItABQABgAIAAAAIQCFzVF+9wEAANIDAAAOAAAAAAAAAAAAAAAAAC4C&#10;AABkcnMvZTJvRG9jLnhtbFBLAQItABQABgAIAAAAIQDTzmy93wAAAAoBAAAPAAAAAAAAAAAAAAAA&#10;AFEEAABkcnMvZG93bnJldi54bWxQSwUGAAAAAAQABADzAAAAXQUAAAAA&#10;" filled="f" strokecolor="#7f7f7f" strokeweight=".35281mm">
                <v:stroke dashstyle="dash"/>
                <v:textbox>
                  <w:txbxContent>
                    <w:p w14:paraId="16F05EEC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甲</w:t>
                      </w:r>
                    </w:p>
                    <w:p w14:paraId="1E764AD8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方</w:t>
                      </w:r>
                    </w:p>
                    <w:p w14:paraId="3B220268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機</w:t>
                      </w:r>
                    </w:p>
                    <w:p w14:paraId="22C323A1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關</w:t>
                      </w:r>
                    </w:p>
                    <w:p w14:paraId="333A94C8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印</w:t>
                      </w:r>
                    </w:p>
                    <w:p w14:paraId="696A8675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 w:rsidRPr="00C069D8">
        <w:rPr>
          <w:rFonts w:ascii="Times New Roman" w:eastAsia="標楷體" w:hAnsi="Times New Roman" w:cs="Times New Roman"/>
          <w:sz w:val="28"/>
        </w:rPr>
        <w:t>甲　方：</w:t>
      </w:r>
      <w:proofErr w:type="gramStart"/>
      <w:r w:rsidRPr="00C069D8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C069D8">
        <w:rPr>
          <w:rFonts w:ascii="Times New Roman" w:eastAsia="標楷體" w:hAnsi="Times New Roman" w:cs="Times New Roman"/>
          <w:sz w:val="28"/>
        </w:rPr>
        <w:t>中市政府衛生局</w:t>
      </w:r>
    </w:p>
    <w:p w14:paraId="0E773663" w14:textId="77777777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局</w:t>
      </w:r>
      <w:r w:rsidRPr="00C069D8">
        <w:rPr>
          <w:rFonts w:ascii="Times New Roman" w:eastAsia="標楷體" w:hAnsi="Times New Roman" w:cs="Times New Roman"/>
          <w:sz w:val="28"/>
        </w:rPr>
        <w:t xml:space="preserve">  </w:t>
      </w:r>
      <w:r w:rsidRPr="00C069D8">
        <w:rPr>
          <w:rFonts w:ascii="Times New Roman" w:eastAsia="標楷體" w:hAnsi="Times New Roman" w:cs="Times New Roman"/>
          <w:sz w:val="28"/>
        </w:rPr>
        <w:t>長：</w:t>
      </w:r>
      <w:r w:rsidRPr="00C069D8">
        <w:rPr>
          <w:rFonts w:ascii="Times New Roman" w:eastAsia="標楷體" w:hAnsi="Times New Roman" w:cs="Times New Roman"/>
          <w:sz w:val="28"/>
        </w:rPr>
        <w:t xml:space="preserve">                        </w:t>
      </w:r>
    </w:p>
    <w:p w14:paraId="0E6E3E4C" w14:textId="77777777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地</w:t>
      </w:r>
      <w:r w:rsidRPr="00C069D8">
        <w:rPr>
          <w:rFonts w:ascii="Times New Roman" w:eastAsia="標楷體" w:hAnsi="Times New Roman" w:cs="Times New Roman"/>
          <w:sz w:val="28"/>
        </w:rPr>
        <w:t xml:space="preserve">  </w:t>
      </w:r>
      <w:r w:rsidRPr="00C069D8">
        <w:rPr>
          <w:rFonts w:ascii="Times New Roman" w:eastAsia="標楷體" w:hAnsi="Times New Roman" w:cs="Times New Roman"/>
          <w:sz w:val="28"/>
        </w:rPr>
        <w:t>址：</w:t>
      </w:r>
      <w:r w:rsidRPr="00C069D8">
        <w:rPr>
          <w:rFonts w:ascii="Times New Roman" w:eastAsia="標楷體" w:hAnsi="Times New Roman" w:cs="Times New Roman"/>
          <w:sz w:val="28"/>
        </w:rPr>
        <w:t>420206</w:t>
      </w:r>
      <w:proofErr w:type="gramStart"/>
      <w:r w:rsidRPr="00C069D8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C069D8">
        <w:rPr>
          <w:rFonts w:ascii="Times New Roman" w:eastAsia="標楷體" w:hAnsi="Times New Roman" w:cs="Times New Roman"/>
          <w:sz w:val="28"/>
        </w:rPr>
        <w:t>中市豐原區中興路</w:t>
      </w:r>
      <w:r w:rsidRPr="00C069D8">
        <w:rPr>
          <w:rFonts w:ascii="Times New Roman" w:eastAsia="標楷體" w:hAnsi="Times New Roman" w:cs="Times New Roman"/>
          <w:sz w:val="28"/>
        </w:rPr>
        <w:t>136</w:t>
      </w:r>
      <w:r w:rsidRPr="00C069D8">
        <w:rPr>
          <w:rFonts w:ascii="Times New Roman" w:eastAsia="標楷體" w:hAnsi="Times New Roman" w:cs="Times New Roman"/>
          <w:sz w:val="28"/>
        </w:rPr>
        <w:t>號</w:t>
      </w:r>
      <w:r w:rsidRPr="00C069D8">
        <w:rPr>
          <w:rFonts w:ascii="Times New Roman" w:eastAsia="標楷體" w:hAnsi="Times New Roman" w:cs="Times New Roman"/>
          <w:sz w:val="28"/>
        </w:rPr>
        <w:t xml:space="preserve"> </w:t>
      </w:r>
    </w:p>
    <w:p w14:paraId="3658A447" w14:textId="77777777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電</w:t>
      </w:r>
      <w:r w:rsidRPr="00C069D8">
        <w:rPr>
          <w:rFonts w:ascii="Times New Roman" w:eastAsia="標楷體" w:hAnsi="Times New Roman" w:cs="Times New Roman"/>
          <w:sz w:val="28"/>
        </w:rPr>
        <w:t xml:space="preserve">  </w:t>
      </w:r>
      <w:r w:rsidRPr="00C069D8">
        <w:rPr>
          <w:rFonts w:ascii="Times New Roman" w:eastAsia="標楷體" w:hAnsi="Times New Roman" w:cs="Times New Roman"/>
          <w:sz w:val="28"/>
        </w:rPr>
        <w:t>話：</w:t>
      </w:r>
      <w:r w:rsidRPr="00C069D8">
        <w:rPr>
          <w:rFonts w:ascii="Times New Roman" w:eastAsia="標楷體" w:hAnsi="Times New Roman" w:cs="Times New Roman"/>
          <w:sz w:val="28"/>
        </w:rPr>
        <w:t>04-25265394</w:t>
      </w:r>
    </w:p>
    <w:p w14:paraId="01A31A41" w14:textId="77777777" w:rsidR="00031F42" w:rsidRPr="00C069D8" w:rsidRDefault="00031F42">
      <w:pPr>
        <w:pStyle w:val="a6"/>
        <w:spacing w:line="400" w:lineRule="exact"/>
        <w:rPr>
          <w:rFonts w:ascii="Times New Roman" w:eastAsia="標楷體" w:hAnsi="Times New Roman" w:cs="Times New Roman"/>
          <w:sz w:val="28"/>
        </w:rPr>
      </w:pPr>
    </w:p>
    <w:p w14:paraId="6932D6A6" w14:textId="77777777" w:rsidR="00031F42" w:rsidRPr="00C069D8" w:rsidRDefault="00031F42">
      <w:pPr>
        <w:pStyle w:val="a6"/>
        <w:spacing w:line="400" w:lineRule="exact"/>
        <w:rPr>
          <w:rFonts w:ascii="Times New Roman" w:eastAsia="標楷體" w:hAnsi="Times New Roman" w:cs="Times New Roman"/>
          <w:sz w:val="28"/>
        </w:rPr>
      </w:pPr>
    </w:p>
    <w:p w14:paraId="5E61907F" w14:textId="77777777" w:rsidR="00031F42" w:rsidRPr="00C069D8" w:rsidRDefault="00031F42">
      <w:pPr>
        <w:pStyle w:val="a6"/>
        <w:spacing w:line="400" w:lineRule="exact"/>
        <w:rPr>
          <w:rFonts w:ascii="Times New Roman" w:eastAsia="標楷體" w:hAnsi="Times New Roman" w:cs="Times New Roman"/>
          <w:sz w:val="28"/>
        </w:rPr>
      </w:pPr>
    </w:p>
    <w:p w14:paraId="5FF1368B" w14:textId="77777777" w:rsidR="00031F42" w:rsidRPr="00C069D8" w:rsidRDefault="00031F42">
      <w:pPr>
        <w:pStyle w:val="a6"/>
        <w:spacing w:line="400" w:lineRule="exact"/>
        <w:rPr>
          <w:rFonts w:ascii="Times New Roman" w:eastAsia="標楷體" w:hAnsi="Times New Roman" w:cs="Times New Roman"/>
          <w:sz w:val="28"/>
        </w:rPr>
      </w:pPr>
    </w:p>
    <w:p w14:paraId="43C66D9A" w14:textId="77777777" w:rsidR="00031F42" w:rsidRPr="00C069D8" w:rsidRDefault="00031F42">
      <w:pPr>
        <w:pStyle w:val="a6"/>
        <w:spacing w:line="400" w:lineRule="exact"/>
        <w:rPr>
          <w:rFonts w:ascii="Times New Roman" w:eastAsia="標楷體" w:hAnsi="Times New Roman" w:cs="Times New Roman"/>
          <w:sz w:val="28"/>
        </w:rPr>
      </w:pPr>
    </w:p>
    <w:p w14:paraId="572BA1DA" w14:textId="77777777" w:rsidR="00031F42" w:rsidRPr="00C069D8" w:rsidRDefault="00061417">
      <w:pPr>
        <w:pStyle w:val="a6"/>
        <w:tabs>
          <w:tab w:val="left" w:pos="7830"/>
        </w:tabs>
        <w:spacing w:line="680" w:lineRule="exact"/>
        <w:rPr>
          <w:rFonts w:hint="eastAsia"/>
        </w:rPr>
      </w:pPr>
      <w:r w:rsidRPr="00C069D8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4283" wp14:editId="21CF74E8">
                <wp:simplePos x="0" y="0"/>
                <wp:positionH relativeFrom="column">
                  <wp:posOffset>4256403</wp:posOffset>
                </wp:positionH>
                <wp:positionV relativeFrom="paragraph">
                  <wp:posOffset>391162</wp:posOffset>
                </wp:positionV>
                <wp:extent cx="2361566" cy="2879729"/>
                <wp:effectExtent l="0" t="0" r="19684" b="15871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6" cy="2879729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84F4FC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乙</w:t>
                            </w:r>
                          </w:p>
                          <w:p w14:paraId="67B758B0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方</w:t>
                            </w:r>
                          </w:p>
                          <w:p w14:paraId="7FD23C6A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機</w:t>
                            </w:r>
                          </w:p>
                          <w:p w14:paraId="3F649E9A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構</w:t>
                            </w:r>
                          </w:p>
                          <w:p w14:paraId="12254999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印</w:t>
                            </w:r>
                          </w:p>
                          <w:p w14:paraId="3B852948" w14:textId="77777777" w:rsidR="00031F42" w:rsidRDefault="00061417">
                            <w:pPr>
                              <w:pStyle w:val="a6"/>
                              <w:rPr>
                                <w:rFonts w:ascii="標楷體" w:eastAsia="標楷體" w:hAnsi="標楷體"/>
                                <w:color w:val="7F7F7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F7F7F"/>
                              </w:rPr>
                              <w:t>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74283" id="Text Box 4" o:spid="_x0000_s1027" type="#_x0000_t202" style="position:absolute;margin-left:335.15pt;margin-top:30.8pt;width:185.95pt;height:2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1O+QEAANkDAAAOAAAAZHJzL2Uyb0RvYy54bWysU9uO0zAQfUfiHyy/01zoNtuo6Qq2KkJa&#10;AVKXD3Acp7Hk2GbsNilfz9jJdgu8IRTJ8cwcH8+cGW8exl6RswAnja5otkgpEZqbRupjRb8/79/d&#10;U+I80w1TRouKXoSjD9u3bzaDLUVuOqMaAQRJtCsHW9HOe1smieOd6JlbGCs0BlsDPfNowjFpgA3I&#10;3qskT9NVMhhoLBgunEPvbgrSbeRvW8H917Z1whNVUczNxxXiWoc12W5YeQRmO8nnNNg/ZNEzqfHS&#10;K9WOeUZOIP+i6iUH40zrF9z0iWlbyUWsAavJ0j+qOXTMilgLiuPsVSb3/2j5l/M3ILKpaE6JZj22&#10;6FmMnnw0I1kGdQbrSgQdLML8iG7s8ovfoTMUPbbQhz+WQzCOOl+u2gYyjs78/Sq7W60o4RjL74t1&#10;ka8DT/J63ILzn4TpSdhUFLB5UVN2fnJ+gr5Awm3a7KVSsYFKkwHzyos0iyecUbIJ0YBzcKwfFZAz&#10;wxko9uGbL/4NFqh3zHUTrsHdjFIaswwyTOWGnR/rMYp2laI2zQUVwpeAmXcGflIy4FRV1P04MRCU&#10;qM8a27bOlsswhtFY3hU5GnAbqW8jTHOkqij3QMlkPPppeHF6LPNP+mB5kHrS48PJm1ZGqUKWU05z&#10;8jg/Uex51sOA3toR9foit78AAAD//wMAUEsDBBQABgAIAAAAIQCILwWC4AAAAAsBAAAPAAAAZHJz&#10;L2Rvd25yZXYueG1sTI9NS8QwEIbvgv8hjODNTdp1q9SmiwgePIjbKoK32Sa2ZZtJaNIP/73Zk95m&#10;mId3nrfYr2Zgsx59b0lCshHANDVW9dRK+Hh/vrkH5gOSwsGSlvCjPezLy4sCc2UXqvRch5bFEPI5&#10;SuhCcDnnvum0Qb+xTlO8fdvRYIjr2HI14hLDzcBTITJusKf4oUOnnzrdnOrJSKi+ZlwO7uVQu/C2&#10;xeo0fb66Scrrq/XxAVjQa/iD4awf1aGMTkc7kfJskJDdiW1E45BkwM6AuE1TYEcJu2SXAC8L/r9D&#10;+QsAAP//AwBQSwECLQAUAAYACAAAACEAtoM4kv4AAADhAQAAEwAAAAAAAAAAAAAAAAAAAAAAW0Nv&#10;bnRlbnRfVHlwZXNdLnhtbFBLAQItABQABgAIAAAAIQA4/SH/1gAAAJQBAAALAAAAAAAAAAAAAAAA&#10;AC8BAABfcmVscy8ucmVsc1BLAQItABQABgAIAAAAIQALKm1O+QEAANkDAAAOAAAAAAAAAAAAAAAA&#10;AC4CAABkcnMvZTJvRG9jLnhtbFBLAQItABQABgAIAAAAIQCILwWC4AAAAAsBAAAPAAAAAAAAAAAA&#10;AAAAAFMEAABkcnMvZG93bnJldi54bWxQSwUGAAAAAAQABADzAAAAYAUAAAAA&#10;" filled="f" strokecolor="#7f7f7f" strokeweight=".35281mm">
                <v:stroke dashstyle="dash"/>
                <v:textbox>
                  <w:txbxContent>
                    <w:p w14:paraId="6084F4FC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乙</w:t>
                      </w:r>
                    </w:p>
                    <w:p w14:paraId="67B758B0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方</w:t>
                      </w:r>
                    </w:p>
                    <w:p w14:paraId="7FD23C6A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機</w:t>
                      </w:r>
                    </w:p>
                    <w:p w14:paraId="3F649E9A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構</w:t>
                      </w:r>
                    </w:p>
                    <w:p w14:paraId="12254999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印</w:t>
                      </w:r>
                    </w:p>
                    <w:p w14:paraId="3B852948" w14:textId="77777777" w:rsidR="00031F42" w:rsidRDefault="00061417">
                      <w:pPr>
                        <w:pStyle w:val="a6"/>
                        <w:rPr>
                          <w:rFonts w:ascii="標楷體" w:eastAsia="標楷體" w:hAnsi="標楷體"/>
                          <w:color w:val="7F7F7F"/>
                        </w:rPr>
                      </w:pPr>
                      <w:r>
                        <w:rPr>
                          <w:rFonts w:ascii="標楷體" w:eastAsia="標楷體" w:hAnsi="標楷體"/>
                          <w:color w:val="7F7F7F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 w:rsidRPr="00C069D8">
        <w:rPr>
          <w:rFonts w:ascii="Times New Roman" w:eastAsia="標楷體" w:hAnsi="Times New Roman" w:cs="Times New Roman"/>
          <w:sz w:val="28"/>
        </w:rPr>
        <w:t xml:space="preserve">    </w:t>
      </w:r>
      <w:r w:rsidRPr="00C069D8">
        <w:rPr>
          <w:rFonts w:ascii="Times New Roman" w:eastAsia="標楷體" w:hAnsi="Times New Roman" w:cs="Times New Roman"/>
          <w:sz w:val="28"/>
        </w:rPr>
        <w:t>乙　方：</w:t>
      </w:r>
      <w:r w:rsidRPr="00C069D8">
        <w:rPr>
          <w:rFonts w:ascii="Times New Roman" w:eastAsia="標楷體" w:hAnsi="Times New Roman" w:cs="Times New Roman"/>
          <w:sz w:val="28"/>
        </w:rPr>
        <w:tab/>
      </w:r>
    </w:p>
    <w:p w14:paraId="3FED034F" w14:textId="50D957CE" w:rsidR="00031F42" w:rsidRPr="00C069D8" w:rsidRDefault="00061417">
      <w:pPr>
        <w:pStyle w:val="a6"/>
        <w:spacing w:line="780" w:lineRule="exact"/>
        <w:ind w:firstLine="560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</w:rPr>
        <w:t>機構代碼：</w:t>
      </w:r>
    </w:p>
    <w:p w14:paraId="02A4C2BF" w14:textId="3D0A58EC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負責人：</w:t>
      </w:r>
      <w:r w:rsidRPr="00C069D8">
        <w:rPr>
          <w:rFonts w:ascii="Times New Roman" w:eastAsia="標楷體" w:hAnsi="Times New Roman" w:cs="Times New Roman"/>
          <w:sz w:val="28"/>
        </w:rPr>
        <w:t xml:space="preserve"> </w:t>
      </w:r>
    </w:p>
    <w:p w14:paraId="05CFD316" w14:textId="77777777" w:rsidR="00031F42" w:rsidRPr="00C069D8" w:rsidRDefault="00061417">
      <w:pPr>
        <w:pStyle w:val="a6"/>
        <w:spacing w:line="780" w:lineRule="exact"/>
        <w:ind w:right="1120" w:firstLine="560"/>
        <w:jc w:val="center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 xml:space="preserve">                               (</w:t>
      </w:r>
      <w:r w:rsidRPr="00C069D8">
        <w:rPr>
          <w:rFonts w:ascii="Times New Roman" w:eastAsia="標楷體" w:hAnsi="Times New Roman" w:cs="Times New Roman"/>
          <w:sz w:val="28"/>
        </w:rPr>
        <w:t>用印</w:t>
      </w:r>
      <w:r w:rsidRPr="00C069D8">
        <w:rPr>
          <w:rFonts w:ascii="Times New Roman" w:eastAsia="標楷體" w:hAnsi="Times New Roman" w:cs="Times New Roman"/>
          <w:sz w:val="28"/>
        </w:rPr>
        <w:t>)</w:t>
      </w:r>
    </w:p>
    <w:p w14:paraId="10E1A13A" w14:textId="77777777" w:rsidR="00031F42" w:rsidRPr="00C069D8" w:rsidRDefault="00061417">
      <w:pPr>
        <w:pStyle w:val="a6"/>
        <w:spacing w:line="780" w:lineRule="exact"/>
        <w:ind w:firstLine="560"/>
        <w:rPr>
          <w:rFonts w:hint="eastAsia"/>
        </w:rPr>
      </w:pPr>
      <w:r w:rsidRPr="00C069D8">
        <w:rPr>
          <w:rFonts w:ascii="Times New Roman" w:eastAsia="標楷體" w:hAnsi="Times New Roman" w:cs="Times New Roman"/>
          <w:sz w:val="28"/>
          <w:szCs w:val="36"/>
        </w:rPr>
        <w:t>扣繳單位統一編號：</w:t>
      </w:r>
    </w:p>
    <w:p w14:paraId="3AF2FB50" w14:textId="51021C77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機構地址：</w:t>
      </w:r>
    </w:p>
    <w:p w14:paraId="16A00112" w14:textId="77777777" w:rsidR="00031F42" w:rsidRPr="00C069D8" w:rsidRDefault="00061417">
      <w:pPr>
        <w:pStyle w:val="a6"/>
        <w:spacing w:line="780" w:lineRule="exact"/>
        <w:ind w:firstLine="560"/>
        <w:rPr>
          <w:rFonts w:ascii="Times New Roman" w:eastAsia="標楷體" w:hAnsi="Times New Roman" w:cs="Times New Roman"/>
          <w:sz w:val="28"/>
        </w:rPr>
      </w:pPr>
      <w:r w:rsidRPr="00C069D8">
        <w:rPr>
          <w:rFonts w:ascii="Times New Roman" w:eastAsia="標楷體" w:hAnsi="Times New Roman" w:cs="Times New Roman"/>
          <w:sz w:val="28"/>
        </w:rPr>
        <w:t>電</w:t>
      </w:r>
      <w:r w:rsidRPr="00C069D8">
        <w:rPr>
          <w:rFonts w:ascii="Times New Roman" w:eastAsia="標楷體" w:hAnsi="Times New Roman" w:cs="Times New Roman"/>
          <w:sz w:val="28"/>
        </w:rPr>
        <w:t xml:space="preserve">  </w:t>
      </w:r>
      <w:r w:rsidRPr="00C069D8">
        <w:rPr>
          <w:rFonts w:ascii="Times New Roman" w:eastAsia="標楷體" w:hAnsi="Times New Roman" w:cs="Times New Roman"/>
          <w:sz w:val="28"/>
        </w:rPr>
        <w:t>話：</w:t>
      </w:r>
    </w:p>
    <w:p w14:paraId="1355D8F9" w14:textId="77777777" w:rsidR="00031F42" w:rsidRPr="00C069D8" w:rsidRDefault="00031F42">
      <w:pPr>
        <w:pStyle w:val="a6"/>
        <w:spacing w:line="600" w:lineRule="exact"/>
        <w:ind w:firstLine="480"/>
        <w:rPr>
          <w:rFonts w:ascii="Times New Roman" w:eastAsia="標楷體" w:hAnsi="Times New Roman" w:cs="Times New Roman"/>
        </w:rPr>
      </w:pPr>
    </w:p>
    <w:p w14:paraId="5F717C3B" w14:textId="77777777" w:rsidR="00031F42" w:rsidRPr="00C069D8" w:rsidRDefault="00031F42">
      <w:pPr>
        <w:pStyle w:val="a6"/>
        <w:spacing w:line="600" w:lineRule="exact"/>
        <w:ind w:firstLine="480"/>
        <w:rPr>
          <w:rFonts w:ascii="Times New Roman" w:eastAsia="標楷體" w:hAnsi="Times New Roman" w:cs="Times New Roman"/>
        </w:rPr>
      </w:pPr>
    </w:p>
    <w:p w14:paraId="1FB7D0FB" w14:textId="360516F5" w:rsidR="00031F42" w:rsidRPr="00C069D8" w:rsidRDefault="00061417" w:rsidP="0087303B">
      <w:pPr>
        <w:pStyle w:val="a6"/>
        <w:spacing w:line="240" w:lineRule="atLeast"/>
        <w:ind w:left="601" w:hanging="601"/>
        <w:jc w:val="distribute"/>
        <w:rPr>
          <w:rFonts w:ascii="Times New Roman" w:eastAsia="標楷體" w:hAnsi="Times New Roman" w:cs="Times New Roman"/>
          <w:b/>
          <w:sz w:val="30"/>
          <w:szCs w:val="30"/>
        </w:rPr>
      </w:pPr>
      <w:r w:rsidRPr="00C069D8">
        <w:rPr>
          <w:rFonts w:ascii="Times New Roman" w:eastAsia="標楷體" w:hAnsi="Times New Roman" w:cs="Times New Roman"/>
          <w:b/>
          <w:sz w:val="30"/>
          <w:szCs w:val="30"/>
        </w:rPr>
        <w:t>中華民國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="0087303B" w:rsidRPr="00C069D8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>年</w:t>
      </w:r>
      <w:r w:rsidR="0087303B" w:rsidRPr="00C069D8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>月</w:t>
      </w:r>
      <w:r w:rsidR="0087303B" w:rsidRPr="00C069D8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C069D8">
        <w:rPr>
          <w:rFonts w:ascii="Times New Roman" w:eastAsia="標楷體" w:hAnsi="Times New Roman" w:cs="Times New Roman"/>
          <w:b/>
          <w:sz w:val="30"/>
          <w:szCs w:val="30"/>
        </w:rPr>
        <w:t>日</w:t>
      </w:r>
    </w:p>
    <w:sectPr w:rsidR="00031F42" w:rsidRPr="00C069D8" w:rsidSect="0045246C">
      <w:headerReference w:type="default" r:id="rId7"/>
      <w:footerReference w:type="default" r:id="rId8"/>
      <w:pgSz w:w="11906" w:h="16838"/>
      <w:pgMar w:top="1134" w:right="1134" w:bottom="1134" w:left="1134" w:header="851" w:footer="284" w:gutter="0"/>
      <w:cols w:space="720"/>
      <w:docGrid w:type="lines" w:linePitch="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DAB5" w14:textId="77777777" w:rsidR="002851F4" w:rsidRDefault="002851F4">
      <w:pPr>
        <w:rPr>
          <w:rFonts w:hint="eastAsia"/>
        </w:rPr>
      </w:pPr>
      <w:r>
        <w:separator/>
      </w:r>
    </w:p>
  </w:endnote>
  <w:endnote w:type="continuationSeparator" w:id="0">
    <w:p w14:paraId="00AFCB34" w14:textId="77777777" w:rsidR="002851F4" w:rsidRDefault="002851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DFKaiShu-SB-Estd-BF">
    <w:altName w:val="@教育部隸書"/>
    <w:charset w:val="88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1D2E" w14:textId="77777777" w:rsidR="00FC1D9E" w:rsidRDefault="00061417">
    <w:pPr>
      <w:pStyle w:val="aa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D2037F6" w14:textId="77777777" w:rsidR="00FC1D9E" w:rsidRDefault="00FC1D9E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78C1" w14:textId="77777777" w:rsidR="002851F4" w:rsidRDefault="002851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0F7B26" w14:textId="77777777" w:rsidR="002851F4" w:rsidRDefault="002851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640E" w14:textId="77777777" w:rsidR="00FC1D9E" w:rsidRDefault="00FC1D9E">
    <w:pPr>
      <w:pStyle w:val="a9"/>
      <w:tabs>
        <w:tab w:val="clear" w:pos="4153"/>
        <w:tab w:val="clear" w:pos="8306"/>
        <w:tab w:val="center" w:pos="5216"/>
        <w:tab w:val="right" w:pos="10433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92"/>
    <w:multiLevelType w:val="multilevel"/>
    <w:tmpl w:val="CA329074"/>
    <w:lvl w:ilvl="0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713" w:hanging="480"/>
      </w:pPr>
    </w:lvl>
    <w:lvl w:ilvl="2">
      <w:start w:val="1"/>
      <w:numFmt w:val="lowerRoman"/>
      <w:lvlText w:val="%3."/>
      <w:lvlJc w:val="right"/>
      <w:pPr>
        <w:ind w:left="2193" w:hanging="480"/>
      </w:pPr>
    </w:lvl>
    <w:lvl w:ilvl="3">
      <w:start w:val="1"/>
      <w:numFmt w:val="decimal"/>
      <w:lvlText w:val="%4."/>
      <w:lvlJc w:val="left"/>
      <w:pPr>
        <w:ind w:left="2673" w:hanging="480"/>
      </w:pPr>
    </w:lvl>
    <w:lvl w:ilvl="4">
      <w:start w:val="1"/>
      <w:numFmt w:val="ideographTraditional"/>
      <w:lvlText w:val="%5、"/>
      <w:lvlJc w:val="left"/>
      <w:pPr>
        <w:ind w:left="3153" w:hanging="480"/>
      </w:pPr>
    </w:lvl>
    <w:lvl w:ilvl="5">
      <w:start w:val="1"/>
      <w:numFmt w:val="lowerRoman"/>
      <w:lvlText w:val="%6."/>
      <w:lvlJc w:val="right"/>
      <w:pPr>
        <w:ind w:left="3633" w:hanging="480"/>
      </w:pPr>
    </w:lvl>
    <w:lvl w:ilvl="6">
      <w:start w:val="1"/>
      <w:numFmt w:val="decimal"/>
      <w:lvlText w:val="%7."/>
      <w:lvlJc w:val="left"/>
      <w:pPr>
        <w:ind w:left="4113" w:hanging="480"/>
      </w:pPr>
    </w:lvl>
    <w:lvl w:ilvl="7">
      <w:start w:val="1"/>
      <w:numFmt w:val="ideographTraditional"/>
      <w:lvlText w:val="%8、"/>
      <w:lvlJc w:val="left"/>
      <w:pPr>
        <w:ind w:left="4593" w:hanging="480"/>
      </w:pPr>
    </w:lvl>
    <w:lvl w:ilvl="8">
      <w:start w:val="1"/>
      <w:numFmt w:val="lowerRoman"/>
      <w:lvlText w:val="%9."/>
      <w:lvlJc w:val="right"/>
      <w:pPr>
        <w:ind w:left="5073" w:hanging="480"/>
      </w:pPr>
    </w:lvl>
  </w:abstractNum>
  <w:abstractNum w:abstractNumId="1" w15:restartNumberingAfterBreak="0">
    <w:nsid w:val="09687C80"/>
    <w:multiLevelType w:val="multilevel"/>
    <w:tmpl w:val="F60602B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/>
        <w:color w:val="000000"/>
        <w:sz w:val="28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875757"/>
    <w:multiLevelType w:val="hybridMultilevel"/>
    <w:tmpl w:val="83782CFA"/>
    <w:lvl w:ilvl="0" w:tplc="3F00635C">
      <w:start w:val="1"/>
      <w:numFmt w:val="taiwaneseCountingThousand"/>
      <w:lvlText w:val="(%1)"/>
      <w:lvlJc w:val="left"/>
      <w:pPr>
        <w:ind w:left="1734" w:hanging="52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3" w15:restartNumberingAfterBreak="0">
    <w:nsid w:val="38AE2E10"/>
    <w:multiLevelType w:val="multilevel"/>
    <w:tmpl w:val="2BCED75E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C804D8"/>
    <w:multiLevelType w:val="hybridMultilevel"/>
    <w:tmpl w:val="E1A63480"/>
    <w:lvl w:ilvl="0" w:tplc="C67620CE">
      <w:start w:val="1"/>
      <w:numFmt w:val="taiwaneseCountingThousand"/>
      <w:lvlText w:val="(%1)"/>
      <w:lvlJc w:val="left"/>
      <w:pPr>
        <w:ind w:left="145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58FA2C92"/>
    <w:multiLevelType w:val="multilevel"/>
    <w:tmpl w:val="F64AF50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027434"/>
    <w:multiLevelType w:val="hybridMultilevel"/>
    <w:tmpl w:val="E1A63480"/>
    <w:lvl w:ilvl="0" w:tplc="C67620CE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F43607B"/>
    <w:multiLevelType w:val="multilevel"/>
    <w:tmpl w:val="35B263E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0C05AF"/>
    <w:multiLevelType w:val="multilevel"/>
    <w:tmpl w:val="51A227B0"/>
    <w:lvl w:ilvl="0">
      <w:start w:val="1"/>
      <w:numFmt w:val="taiwaneseCountingThousand"/>
      <w:lvlText w:val="(%1)"/>
      <w:lvlJc w:val="left"/>
      <w:pPr>
        <w:ind w:left="1739" w:hanging="465"/>
      </w:pPr>
      <w:rPr>
        <w:sz w:val="28"/>
        <w:szCs w:val="22"/>
      </w:rPr>
    </w:lvl>
    <w:lvl w:ilvl="1">
      <w:start w:val="1"/>
      <w:numFmt w:val="ideographTraditional"/>
      <w:lvlText w:val="%2、"/>
      <w:lvlJc w:val="left"/>
      <w:pPr>
        <w:ind w:left="2234" w:hanging="480"/>
      </w:pPr>
    </w:lvl>
    <w:lvl w:ilvl="2">
      <w:start w:val="1"/>
      <w:numFmt w:val="lowerRoman"/>
      <w:lvlText w:val="%3."/>
      <w:lvlJc w:val="right"/>
      <w:pPr>
        <w:ind w:left="2714" w:hanging="480"/>
      </w:pPr>
    </w:lvl>
    <w:lvl w:ilvl="3">
      <w:start w:val="1"/>
      <w:numFmt w:val="decimal"/>
      <w:lvlText w:val="%4."/>
      <w:lvlJc w:val="left"/>
      <w:pPr>
        <w:ind w:left="3194" w:hanging="480"/>
      </w:pPr>
    </w:lvl>
    <w:lvl w:ilvl="4">
      <w:start w:val="1"/>
      <w:numFmt w:val="ideographTraditional"/>
      <w:lvlText w:val="%5、"/>
      <w:lvlJc w:val="left"/>
      <w:pPr>
        <w:ind w:left="3674" w:hanging="480"/>
      </w:pPr>
    </w:lvl>
    <w:lvl w:ilvl="5">
      <w:start w:val="1"/>
      <w:numFmt w:val="lowerRoman"/>
      <w:lvlText w:val="%6."/>
      <w:lvlJc w:val="right"/>
      <w:pPr>
        <w:ind w:left="4154" w:hanging="480"/>
      </w:pPr>
    </w:lvl>
    <w:lvl w:ilvl="6">
      <w:start w:val="1"/>
      <w:numFmt w:val="decimal"/>
      <w:lvlText w:val="%7."/>
      <w:lvlJc w:val="left"/>
      <w:pPr>
        <w:ind w:left="4634" w:hanging="480"/>
      </w:pPr>
    </w:lvl>
    <w:lvl w:ilvl="7">
      <w:start w:val="1"/>
      <w:numFmt w:val="ideographTraditional"/>
      <w:lvlText w:val="%8、"/>
      <w:lvlJc w:val="left"/>
      <w:pPr>
        <w:ind w:left="5114" w:hanging="480"/>
      </w:pPr>
    </w:lvl>
    <w:lvl w:ilvl="8">
      <w:start w:val="1"/>
      <w:numFmt w:val="lowerRoman"/>
      <w:lvlText w:val="%9."/>
      <w:lvlJc w:val="right"/>
      <w:pPr>
        <w:ind w:left="5594" w:hanging="480"/>
      </w:pPr>
    </w:lvl>
  </w:abstractNum>
  <w:abstractNum w:abstractNumId="9" w15:restartNumberingAfterBreak="0">
    <w:nsid w:val="6E8E1B67"/>
    <w:multiLevelType w:val="multilevel"/>
    <w:tmpl w:val="C5F6F0D0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AD22E60"/>
    <w:multiLevelType w:val="multilevel"/>
    <w:tmpl w:val="B5586C22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uto"/>
        <w:sz w:val="28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42"/>
    <w:rsid w:val="0003182F"/>
    <w:rsid w:val="00031F42"/>
    <w:rsid w:val="0004155C"/>
    <w:rsid w:val="00061417"/>
    <w:rsid w:val="00080D95"/>
    <w:rsid w:val="000C3CC4"/>
    <w:rsid w:val="000F37B1"/>
    <w:rsid w:val="0011170E"/>
    <w:rsid w:val="001526AB"/>
    <w:rsid w:val="00166AA2"/>
    <w:rsid w:val="00190248"/>
    <w:rsid w:val="001E42B2"/>
    <w:rsid w:val="001F7ABD"/>
    <w:rsid w:val="00211E0A"/>
    <w:rsid w:val="002300B5"/>
    <w:rsid w:val="00256E6D"/>
    <w:rsid w:val="00283374"/>
    <w:rsid w:val="002851F4"/>
    <w:rsid w:val="00295A26"/>
    <w:rsid w:val="002A7E4D"/>
    <w:rsid w:val="002C4620"/>
    <w:rsid w:val="002E1D56"/>
    <w:rsid w:val="002F3820"/>
    <w:rsid w:val="00302EB8"/>
    <w:rsid w:val="0032722B"/>
    <w:rsid w:val="00354CC8"/>
    <w:rsid w:val="003614BA"/>
    <w:rsid w:val="003802F0"/>
    <w:rsid w:val="003B5E48"/>
    <w:rsid w:val="003D46C6"/>
    <w:rsid w:val="003D5FD4"/>
    <w:rsid w:val="003E3709"/>
    <w:rsid w:val="00442430"/>
    <w:rsid w:val="0045246C"/>
    <w:rsid w:val="00490B04"/>
    <w:rsid w:val="0049470F"/>
    <w:rsid w:val="004A1A75"/>
    <w:rsid w:val="004B23DE"/>
    <w:rsid w:val="004C13A5"/>
    <w:rsid w:val="004C6AA0"/>
    <w:rsid w:val="005327A0"/>
    <w:rsid w:val="005B5F26"/>
    <w:rsid w:val="005C151F"/>
    <w:rsid w:val="00645B0A"/>
    <w:rsid w:val="006460EB"/>
    <w:rsid w:val="00656B8B"/>
    <w:rsid w:val="00676103"/>
    <w:rsid w:val="00696684"/>
    <w:rsid w:val="00730B13"/>
    <w:rsid w:val="0073129C"/>
    <w:rsid w:val="00760D7E"/>
    <w:rsid w:val="00762860"/>
    <w:rsid w:val="007727A9"/>
    <w:rsid w:val="007D01CE"/>
    <w:rsid w:val="0082118D"/>
    <w:rsid w:val="00857886"/>
    <w:rsid w:val="0087303B"/>
    <w:rsid w:val="00873470"/>
    <w:rsid w:val="00875B41"/>
    <w:rsid w:val="008B13E5"/>
    <w:rsid w:val="008E0F59"/>
    <w:rsid w:val="008F36AA"/>
    <w:rsid w:val="00907F29"/>
    <w:rsid w:val="00927B62"/>
    <w:rsid w:val="00935EF8"/>
    <w:rsid w:val="00985D39"/>
    <w:rsid w:val="00990217"/>
    <w:rsid w:val="009B1E02"/>
    <w:rsid w:val="00A46398"/>
    <w:rsid w:val="00A80242"/>
    <w:rsid w:val="00A82B3F"/>
    <w:rsid w:val="00AB7B51"/>
    <w:rsid w:val="00AC32F1"/>
    <w:rsid w:val="00B002F3"/>
    <w:rsid w:val="00B16ACF"/>
    <w:rsid w:val="00B30543"/>
    <w:rsid w:val="00B42F29"/>
    <w:rsid w:val="00B977ED"/>
    <w:rsid w:val="00BB47E7"/>
    <w:rsid w:val="00BB699C"/>
    <w:rsid w:val="00BD208D"/>
    <w:rsid w:val="00BD4F49"/>
    <w:rsid w:val="00BE0FBC"/>
    <w:rsid w:val="00C069D8"/>
    <w:rsid w:val="00C10875"/>
    <w:rsid w:val="00C36FC8"/>
    <w:rsid w:val="00C4177A"/>
    <w:rsid w:val="00C443ED"/>
    <w:rsid w:val="00CC22F7"/>
    <w:rsid w:val="00D02EFB"/>
    <w:rsid w:val="00D661F0"/>
    <w:rsid w:val="00D722C2"/>
    <w:rsid w:val="00D731F1"/>
    <w:rsid w:val="00D92CEF"/>
    <w:rsid w:val="00DB2932"/>
    <w:rsid w:val="00DD56C8"/>
    <w:rsid w:val="00DF421A"/>
    <w:rsid w:val="00E02FF2"/>
    <w:rsid w:val="00E35CC1"/>
    <w:rsid w:val="00E54833"/>
    <w:rsid w:val="00E65B13"/>
    <w:rsid w:val="00E77FF0"/>
    <w:rsid w:val="00E827C3"/>
    <w:rsid w:val="00E853DB"/>
    <w:rsid w:val="00F42E57"/>
    <w:rsid w:val="00FC1D9E"/>
    <w:rsid w:val="040255CD"/>
    <w:rsid w:val="051C1255"/>
    <w:rsid w:val="05C9888F"/>
    <w:rsid w:val="0A6D4CA2"/>
    <w:rsid w:val="100E2E77"/>
    <w:rsid w:val="172C742C"/>
    <w:rsid w:val="17854A9B"/>
    <w:rsid w:val="17D4E3A4"/>
    <w:rsid w:val="1A821B40"/>
    <w:rsid w:val="278514F9"/>
    <w:rsid w:val="2823B074"/>
    <w:rsid w:val="304E44E0"/>
    <w:rsid w:val="374ECC2D"/>
    <w:rsid w:val="41337826"/>
    <w:rsid w:val="41688BDC"/>
    <w:rsid w:val="44F33560"/>
    <w:rsid w:val="49D7AFE5"/>
    <w:rsid w:val="4EF023ED"/>
    <w:rsid w:val="5016F362"/>
    <w:rsid w:val="54BD3357"/>
    <w:rsid w:val="58660E35"/>
    <w:rsid w:val="59CD1715"/>
    <w:rsid w:val="6609B67D"/>
    <w:rsid w:val="692C3280"/>
    <w:rsid w:val="69930760"/>
    <w:rsid w:val="6BBEB156"/>
    <w:rsid w:val="6E4144EC"/>
    <w:rsid w:val="72F256F5"/>
    <w:rsid w:val="73FD323A"/>
    <w:rsid w:val="74DB9553"/>
    <w:rsid w:val="7D0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BC96D0"/>
  <w15:docId w15:val="{B2EA9C6D-1B8B-4F42-8618-18CB1CF0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@DFKaiShu-SB-Estd-BF" w:eastAsia="新細明體" w:hAnsi="@DFKaiShu-SB-Estd-BF" w:cs="@DFKaiShu-SB-Estd-B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縮排 字元"/>
    <w:rPr>
      <w:rFonts w:eastAsia="細明體"/>
      <w:kern w:val="3"/>
      <w:sz w:val="24"/>
      <w:lang w:val="en-US" w:eastAsia="zh-TW" w:bidi="ar-SA"/>
    </w:rPr>
  </w:style>
  <w:style w:type="character" w:customStyle="1" w:styleId="a4">
    <w:name w:val="頁首 字元"/>
    <w:rPr>
      <w:kern w:val="3"/>
    </w:rPr>
  </w:style>
  <w:style w:type="character" w:customStyle="1" w:styleId="a5">
    <w:name w:val="頁尾 字元"/>
    <w:rPr>
      <w:kern w:val="3"/>
    </w:rPr>
  </w:style>
  <w:style w:type="paragraph" w:styleId="a6">
    <w:name w:val="Body Text"/>
    <w:pPr>
      <w:widowControl w:val="0"/>
      <w:suppressAutoHyphens/>
    </w:pPr>
    <w:rPr>
      <w:kern w:val="3"/>
      <w:sz w:val="24"/>
    </w:rPr>
  </w:style>
  <w:style w:type="paragraph" w:styleId="a7">
    <w:name w:val="Body Text Indent"/>
    <w:basedOn w:val="a6"/>
    <w:pPr>
      <w:ind w:left="720" w:hanging="720"/>
    </w:pPr>
    <w:rPr>
      <w:rFonts w:eastAsia="細明體"/>
    </w:rPr>
  </w:style>
  <w:style w:type="paragraph" w:styleId="2">
    <w:name w:val="Body Text Indent 2"/>
    <w:basedOn w:val="a6"/>
    <w:pPr>
      <w:ind w:left="600" w:hanging="600"/>
    </w:pPr>
    <w:rPr>
      <w:rFonts w:eastAsia="細明體"/>
    </w:rPr>
  </w:style>
  <w:style w:type="paragraph" w:styleId="a8">
    <w:name w:val="Balloon Text"/>
    <w:basedOn w:val="a6"/>
    <w:rPr>
      <w:rFonts w:ascii="Arial" w:hAnsi="Arial"/>
      <w:sz w:val="18"/>
      <w:szCs w:val="18"/>
    </w:r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List Paragraph"/>
    <w:basedOn w:val="a6"/>
    <w:pPr>
      <w:ind w:left="480"/>
    </w:pPr>
  </w:style>
  <w:style w:type="paragraph" w:customStyle="1" w:styleId="ac">
    <w:name w:val="外框內容"/>
    <w:basedOn w:val="a"/>
  </w:style>
  <w:style w:type="paragraph" w:customStyle="1" w:styleId="ad">
    <w:name w:val="表格內容"/>
    <w:basedOn w:val="a"/>
    <w:pPr>
      <w:suppressLineNumbers/>
    </w:p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台中市政府辦理八十九年老人健康檢查業務委託合約書</dc:title>
  <dc:subject/>
  <dc:creator>usrb01</dc:creator>
  <dc:description/>
  <cp:lastModifiedBy>冠蘭 陳</cp:lastModifiedBy>
  <cp:revision>2</cp:revision>
  <cp:lastPrinted>2025-01-07T06:52:00Z</cp:lastPrinted>
  <dcterms:created xsi:type="dcterms:W3CDTF">2026-01-14T07:30:00Z</dcterms:created>
  <dcterms:modified xsi:type="dcterms:W3CDTF">2026-01-14T07:30:00Z</dcterms:modified>
</cp:coreProperties>
</file>