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324D" w14:textId="4C562DE9" w:rsidR="005C608F" w:rsidRPr="003E3FDC" w:rsidRDefault="005C608F" w:rsidP="005C608F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○○○○○○○○(單位全銜)</w:t>
      </w:r>
    </w:p>
    <w:p w14:paraId="6B962A8F" w14:textId="018CB9A5" w:rsidR="007D0C08" w:rsidRPr="003E3FDC" w:rsidRDefault="005C608F" w:rsidP="005C608F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○○○年度</w:t>
      </w:r>
      <w:proofErr w:type="gramStart"/>
      <w:r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臺</w:t>
      </w:r>
      <w:proofErr w:type="gramEnd"/>
      <w:r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中市</w:t>
      </w:r>
      <w:r w:rsidR="007D0C08"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長期照顧</w:t>
      </w:r>
      <w:r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輔具供應人員</w:t>
      </w:r>
      <w:r w:rsidR="005D0259"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資格</w:t>
      </w:r>
      <w:r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訓練課程</w:t>
      </w:r>
    </w:p>
    <w:p w14:paraId="7DB1F3C8" w14:textId="5D825225" w:rsidR="00571E4F" w:rsidRPr="003E3FDC" w:rsidRDefault="005C608F" w:rsidP="005C608F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招生簡章</w:t>
      </w:r>
    </w:p>
    <w:p w14:paraId="3586CF97" w14:textId="05B49B63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依據</w:t>
      </w:r>
      <w:proofErr w:type="gramStart"/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臺</w:t>
      </w:r>
      <w:proofErr w:type="gramEnd"/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中市政府衛生局114年1</w:t>
      </w:r>
      <w:r w:rsidR="00A84F46"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月○日</w:t>
      </w:r>
      <w:proofErr w:type="gramStart"/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中市衛照字</w:t>
      </w:r>
      <w:proofErr w:type="gramEnd"/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第○○○○號公告辦理。</w:t>
      </w:r>
    </w:p>
    <w:p w14:paraId="5E3C4F52" w14:textId="12922DD6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辦理單位：</w:t>
      </w:r>
    </w:p>
    <w:p w14:paraId="0CF529C3" w14:textId="56E18810" w:rsidR="005C608F" w:rsidRPr="003E3FDC" w:rsidRDefault="005C608F" w:rsidP="005C608F">
      <w:pPr>
        <w:pStyle w:val="a3"/>
        <w:numPr>
          <w:ilvl w:val="1"/>
          <w:numId w:val="1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指導單位：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臺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中市政府衛生局</w:t>
      </w:r>
    </w:p>
    <w:p w14:paraId="6496602B" w14:textId="7E204B19" w:rsidR="005C608F" w:rsidRPr="003E3FDC" w:rsidRDefault="005C608F" w:rsidP="005C608F">
      <w:pPr>
        <w:pStyle w:val="a3"/>
        <w:numPr>
          <w:ilvl w:val="1"/>
          <w:numId w:val="1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4"/>
        </w:rPr>
      </w:pP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辦訓單位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：○○○○○○○○(單位全銜)</w:t>
      </w:r>
    </w:p>
    <w:p w14:paraId="37EDE855" w14:textId="72654B43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受訓對象：</w:t>
      </w:r>
    </w:p>
    <w:p w14:paraId="57BC6B18" w14:textId="244D7A8D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開課資訊：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(應包含梯次、日期、地點、人數)。</w:t>
      </w:r>
    </w:p>
    <w:p w14:paraId="4B634844" w14:textId="14000AEF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訓練課程內容與時數：</w:t>
      </w:r>
    </w:p>
    <w:p w14:paraId="17EDD8F6" w14:textId="77777777" w:rsidR="005C608F" w:rsidRPr="003E3FDC" w:rsidRDefault="005C608F" w:rsidP="005C608F">
      <w:pPr>
        <w:pStyle w:val="a3"/>
        <w:numPr>
          <w:ilvl w:val="1"/>
          <w:numId w:val="1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訓練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課程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內容：應符合衛生福利部「長期照顧輔具供應人員資格訓練課程及辦理原則」(詳如附件)。</w:t>
      </w:r>
    </w:p>
    <w:p w14:paraId="1AA91B81" w14:textId="77777777" w:rsidR="005C608F" w:rsidRPr="003E3FDC" w:rsidRDefault="005C608F" w:rsidP="005C608F">
      <w:pPr>
        <w:pStyle w:val="a3"/>
        <w:numPr>
          <w:ilvl w:val="1"/>
          <w:numId w:val="1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課程時數：</w:t>
      </w:r>
    </w:p>
    <w:p w14:paraId="6490D7F0" w14:textId="012153AF" w:rsidR="005C608F" w:rsidRPr="003E3FDC" w:rsidRDefault="005C608F" w:rsidP="005C608F">
      <w:pPr>
        <w:pStyle w:val="a3"/>
        <w:numPr>
          <w:ilvl w:val="2"/>
          <w:numId w:val="1"/>
        </w:numPr>
        <w:spacing w:line="500" w:lineRule="exact"/>
        <w:ind w:leftChars="0" w:left="1560" w:hanging="6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核心課程(至少1</w:t>
      </w:r>
      <w:r w:rsidR="00A84F46"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小時)：</w:t>
      </w:r>
    </w:p>
    <w:p w14:paraId="23B8F53F" w14:textId="28ACD597" w:rsidR="005C608F" w:rsidRPr="003E3FDC" w:rsidRDefault="005C608F" w:rsidP="005C608F">
      <w:pPr>
        <w:pStyle w:val="a3"/>
        <w:numPr>
          <w:ilvl w:val="3"/>
          <w:numId w:val="1"/>
        </w:numPr>
        <w:spacing w:line="500" w:lineRule="exact"/>
        <w:ind w:leftChars="0" w:left="1843" w:hanging="33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制度與服務系統基礎知識(至少</w:t>
      </w:r>
      <w:r w:rsidR="00A84F46"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小時)。</w:t>
      </w:r>
    </w:p>
    <w:p w14:paraId="09A52A50" w14:textId="77777777" w:rsidR="005C608F" w:rsidRPr="003E3FDC" w:rsidRDefault="005C608F" w:rsidP="005C608F">
      <w:pPr>
        <w:pStyle w:val="a3"/>
        <w:numPr>
          <w:ilvl w:val="3"/>
          <w:numId w:val="1"/>
        </w:numPr>
        <w:spacing w:line="500" w:lineRule="exact"/>
        <w:ind w:leftChars="0" w:left="1843" w:hanging="33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輔具租賃實務知能與操作訓練(至少10小時)。</w:t>
      </w:r>
    </w:p>
    <w:p w14:paraId="2054E9EC" w14:textId="2AC57F42" w:rsidR="005C608F" w:rsidRPr="003E3FDC" w:rsidRDefault="005C608F" w:rsidP="005C608F">
      <w:pPr>
        <w:pStyle w:val="a3"/>
        <w:numPr>
          <w:ilvl w:val="2"/>
          <w:numId w:val="1"/>
        </w:numPr>
        <w:spacing w:line="500" w:lineRule="exact"/>
        <w:ind w:leftChars="0" w:left="1560" w:hanging="6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選修課程(至少</w:t>
      </w:r>
      <w:r w:rsidR="00A84F46"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小時)：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爬梯機服務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認識與實務操作暨案例說明。</w:t>
      </w:r>
    </w:p>
    <w:p w14:paraId="09312381" w14:textId="29DF4EAE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課程規範：</w:t>
      </w:r>
    </w:p>
    <w:p w14:paraId="2E5F3A7E" w14:textId="77777777" w:rsidR="005C608F" w:rsidRPr="003E3FDC" w:rsidRDefault="005C608F" w:rsidP="005C608F">
      <w:pPr>
        <w:pStyle w:val="a3"/>
        <w:numPr>
          <w:ilvl w:val="0"/>
          <w:numId w:val="3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為維護課程品質，每班不得超過50人。</w:t>
      </w:r>
    </w:p>
    <w:p w14:paraId="1CA8417E" w14:textId="77777777" w:rsidR="00A84F46" w:rsidRPr="003E3FDC" w:rsidRDefault="00A84F46" w:rsidP="00A84F46">
      <w:pPr>
        <w:pStyle w:val="a3"/>
        <w:numPr>
          <w:ilvl w:val="0"/>
          <w:numId w:val="3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本訓練課程須由本人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全程參訓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，上課前須出示相關身分證件(如身分證、健保卡)提供查驗，課程期間有下列情形之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者，視同未完成該梯次訓練，經確認即取消受訓資格及全部課程時數：</w:t>
      </w:r>
    </w:p>
    <w:p w14:paraId="7DE547E6" w14:textId="77777777" w:rsidR="00A84F46" w:rsidRPr="003E3FDC" w:rsidRDefault="00A84F46" w:rsidP="00A84F46">
      <w:pPr>
        <w:pStyle w:val="a3"/>
        <w:numPr>
          <w:ilvl w:val="1"/>
          <w:numId w:val="3"/>
        </w:numPr>
        <w:spacing w:line="500" w:lineRule="exact"/>
        <w:ind w:leftChars="0" w:left="1843" w:hanging="654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其中一堂課有遲到、早退或中途離席超過30分鐘等情形之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者。</w:t>
      </w:r>
    </w:p>
    <w:p w14:paraId="60044D8C" w14:textId="77777777" w:rsidR="00A84F46" w:rsidRPr="003E3FDC" w:rsidRDefault="00A84F46" w:rsidP="00A84F46">
      <w:pPr>
        <w:pStyle w:val="a3"/>
        <w:numPr>
          <w:ilvl w:val="1"/>
          <w:numId w:val="3"/>
        </w:numPr>
        <w:spacing w:line="500" w:lineRule="exact"/>
        <w:ind w:leftChars="0" w:left="1843" w:hanging="654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經查獲冒名上課即取消受訓資格及全部課程時數。</w:t>
      </w:r>
    </w:p>
    <w:p w14:paraId="201FCB9A" w14:textId="77777777" w:rsidR="00A84F46" w:rsidRPr="003E3FDC" w:rsidRDefault="00A84F46" w:rsidP="00A84F46">
      <w:pPr>
        <w:pStyle w:val="a3"/>
        <w:numPr>
          <w:ilvl w:val="1"/>
          <w:numId w:val="3"/>
        </w:numPr>
        <w:spacing w:line="500" w:lineRule="exact"/>
        <w:ind w:leftChars="0" w:left="1843" w:hanging="654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作弊等虛偽不實之情形。</w:t>
      </w:r>
    </w:p>
    <w:p w14:paraId="364B94C9" w14:textId="41CBD5B9" w:rsidR="005C608F" w:rsidRPr="003E3FDC" w:rsidRDefault="00A84F46" w:rsidP="00A84F46">
      <w:pPr>
        <w:pStyle w:val="a3"/>
        <w:numPr>
          <w:ilvl w:val="0"/>
          <w:numId w:val="3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每梯次訓練課程結束將安排考試，成績以各科平均達70分為合格，未通過者不予核發證書。</w:t>
      </w:r>
    </w:p>
    <w:p w14:paraId="0C97B897" w14:textId="77777777" w:rsidR="005C608F" w:rsidRPr="003E3FDC" w:rsidRDefault="005C608F" w:rsidP="005C608F">
      <w:pPr>
        <w:pStyle w:val="a3"/>
        <w:numPr>
          <w:ilvl w:val="0"/>
          <w:numId w:val="3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為維護學員權益，禁止非學員陪同上課，授課師資皆為專業講師，為保障著作財產權，上課全程禁止拍照錄影及喧嘩吵鬧行為。</w:t>
      </w:r>
    </w:p>
    <w:p w14:paraId="33913CF7" w14:textId="77777777" w:rsidR="005C608F" w:rsidRPr="003E3FDC" w:rsidRDefault="005C608F" w:rsidP="005C608F">
      <w:pPr>
        <w:pStyle w:val="a3"/>
        <w:numPr>
          <w:ilvl w:val="0"/>
          <w:numId w:val="3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為響應環保，請學員自備環保杯，上課場地應全面禁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菸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，上課期間手機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應轉靜音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或震動。</w:t>
      </w:r>
    </w:p>
    <w:p w14:paraId="65DCADD7" w14:textId="77777777" w:rsidR="005C608F" w:rsidRPr="003E3FDC" w:rsidRDefault="005C608F" w:rsidP="005C608F">
      <w:pPr>
        <w:pStyle w:val="a3"/>
        <w:numPr>
          <w:ilvl w:val="0"/>
          <w:numId w:val="3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停課或延期標準依中央主管機關或地方政府通告天然災害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達停班停課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公告為主，並應於事實發生日次二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工作日內以電子郵件方式向本局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核備異動後辦訓日期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D1A4A15" w14:textId="77777777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核發證書</w:t>
      </w:r>
    </w:p>
    <w:p w14:paraId="4CDD7DDD" w14:textId="1498C466" w:rsidR="005C608F" w:rsidRPr="003E3FDC" w:rsidRDefault="005C608F" w:rsidP="005C608F">
      <w:pPr>
        <w:pStyle w:val="a3"/>
        <w:spacing w:line="50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受訓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對象應全程參與課程，並通過考試，始可核發結業證明，有效期自核發日起六年。</w:t>
      </w:r>
    </w:p>
    <w:p w14:paraId="7FBAC330" w14:textId="2F6ADB21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報名方式及注意事項</w:t>
      </w:r>
    </w:p>
    <w:p w14:paraId="31654E04" w14:textId="285358CE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取消及退費規則</w:t>
      </w:r>
    </w:p>
    <w:p w14:paraId="65AC8269" w14:textId="77777777" w:rsidR="00D22748" w:rsidRPr="003E3FDC" w:rsidRDefault="00D22748" w:rsidP="00D22748">
      <w:pPr>
        <w:pStyle w:val="a3"/>
        <w:numPr>
          <w:ilvl w:val="1"/>
          <w:numId w:val="1"/>
        </w:numPr>
        <w:spacing w:line="50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學員退訓費用核退原則：</w:t>
      </w:r>
    </w:p>
    <w:p w14:paraId="2613D4EE" w14:textId="77777777" w:rsidR="00D22748" w:rsidRPr="003E3FDC" w:rsidRDefault="00D22748" w:rsidP="00D22748">
      <w:pPr>
        <w:pStyle w:val="a3"/>
        <w:numPr>
          <w:ilvl w:val="2"/>
          <w:numId w:val="1"/>
        </w:numPr>
        <w:spacing w:line="500" w:lineRule="exact"/>
        <w:ind w:leftChars="0" w:left="1560" w:hanging="6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受訓學員於實際開訓日前7日(含；日曆日)申請退訓者，應全額退還已繳費用。</w:t>
      </w:r>
    </w:p>
    <w:p w14:paraId="61DC7FAE" w14:textId="77777777" w:rsidR="00D22748" w:rsidRPr="003E3FDC" w:rsidRDefault="00D22748" w:rsidP="00D22748">
      <w:pPr>
        <w:pStyle w:val="a3"/>
        <w:numPr>
          <w:ilvl w:val="2"/>
          <w:numId w:val="1"/>
        </w:numPr>
        <w:spacing w:line="500" w:lineRule="exact"/>
        <w:ind w:leftChars="0" w:left="1560" w:hanging="6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實際開訓日前6日(日曆日)至開訓當日申請退訓者，應退還已繳費用之90％。</w:t>
      </w:r>
    </w:p>
    <w:p w14:paraId="631B3284" w14:textId="7D68C5D6" w:rsidR="00D22748" w:rsidRPr="003E3FDC" w:rsidRDefault="00D22748" w:rsidP="00D22748">
      <w:pPr>
        <w:pStyle w:val="a3"/>
        <w:numPr>
          <w:ilvl w:val="2"/>
          <w:numId w:val="1"/>
        </w:numPr>
        <w:spacing w:line="500" w:lineRule="exact"/>
        <w:ind w:leftChars="0" w:left="1560" w:hanging="6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實際開訓日後未逾課程五分之一者，應退還已繳費用之</w:t>
      </w:r>
      <w:r w:rsidR="00A84F46" w:rsidRPr="003E3FDC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0％。</w:t>
      </w:r>
    </w:p>
    <w:p w14:paraId="256DD8E8" w14:textId="775709D3" w:rsidR="00D22748" w:rsidRPr="003E3FDC" w:rsidRDefault="00D22748" w:rsidP="00D22748">
      <w:pPr>
        <w:pStyle w:val="a3"/>
        <w:numPr>
          <w:ilvl w:val="2"/>
          <w:numId w:val="1"/>
        </w:numPr>
        <w:spacing w:line="500" w:lineRule="exact"/>
        <w:ind w:leftChars="0" w:left="1560" w:hanging="6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實際開訓日後已逾課程五分之一但未逾課程三分之一者，應退還已繳費用</w:t>
      </w:r>
      <w:r w:rsidR="00A84F46"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％。</w:t>
      </w:r>
    </w:p>
    <w:p w14:paraId="022705CA" w14:textId="77777777" w:rsidR="00D22748" w:rsidRPr="003E3FDC" w:rsidRDefault="00D22748" w:rsidP="00D22748">
      <w:pPr>
        <w:pStyle w:val="a3"/>
        <w:numPr>
          <w:ilvl w:val="2"/>
          <w:numId w:val="1"/>
        </w:numPr>
        <w:spacing w:line="500" w:lineRule="exact"/>
        <w:ind w:leftChars="0" w:left="1560" w:hanging="6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實際開訓日後已逾課程三分之一以上者，得不予退費。</w:t>
      </w:r>
    </w:p>
    <w:p w14:paraId="2E15D121" w14:textId="77777777" w:rsidR="00D22748" w:rsidRPr="003E3FDC" w:rsidRDefault="00D22748" w:rsidP="00D22748">
      <w:pPr>
        <w:pStyle w:val="a3"/>
        <w:numPr>
          <w:ilvl w:val="2"/>
          <w:numId w:val="1"/>
        </w:numPr>
        <w:spacing w:line="500" w:lineRule="exact"/>
        <w:ind w:leftChars="0" w:left="1560" w:hanging="6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上述退費事宜應於學員提出退訓申請次日起30日(日曆日)內完成退費事宜。</w:t>
      </w:r>
    </w:p>
    <w:p w14:paraId="2082981A" w14:textId="1604A20E" w:rsidR="00D22748" w:rsidRPr="003E3FDC" w:rsidRDefault="00D22748" w:rsidP="00D22748">
      <w:pPr>
        <w:pStyle w:val="a3"/>
        <w:numPr>
          <w:ilvl w:val="1"/>
          <w:numId w:val="1"/>
        </w:numPr>
        <w:spacing w:line="50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辦訓單位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因故未能開訓者，應全額退還受訓對象已繳費用；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因故停訓者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應按未上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課時數比例退還已繳費用；並</w:t>
      </w:r>
      <w:proofErr w:type="gramStart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應於退訓</w:t>
      </w:r>
      <w:proofErr w:type="gramEnd"/>
      <w:r w:rsidRPr="003E3FDC">
        <w:rPr>
          <w:rFonts w:ascii="標楷體" w:eastAsia="標楷體" w:hAnsi="標楷體" w:hint="eastAsia"/>
          <w:color w:val="000000" w:themeColor="text1"/>
          <w:sz w:val="28"/>
          <w:szCs w:val="28"/>
        </w:rPr>
        <w:t>後30日(日曆日)內完成退費事宜。</w:t>
      </w:r>
    </w:p>
    <w:p w14:paraId="7D9CA6BC" w14:textId="09257312" w:rsidR="005C608F" w:rsidRPr="003E3FDC" w:rsidRDefault="005C608F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交通資訊</w:t>
      </w:r>
    </w:p>
    <w:p w14:paraId="7CBC3507" w14:textId="3DC77CDD" w:rsidR="005C608F" w:rsidRPr="003E3FDC" w:rsidRDefault="00386211" w:rsidP="005C608F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3E3FDC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其他</w:t>
      </w:r>
      <w:r w:rsidRPr="003E3FDC">
        <w:rPr>
          <w:rFonts w:ascii="標楷體" w:eastAsia="標楷體" w:hAnsi="標楷體" w:hint="eastAsia"/>
          <w:color w:val="000000" w:themeColor="text1"/>
          <w:sz w:val="28"/>
          <w:szCs w:val="24"/>
        </w:rPr>
        <w:t>(得依單位需求增加)</w:t>
      </w:r>
    </w:p>
    <w:sectPr w:rsidR="005C608F" w:rsidRPr="003E3F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212D" w14:textId="77777777" w:rsidR="00F76DDD" w:rsidRDefault="00F76DDD" w:rsidP="007D0C08">
      <w:r>
        <w:separator/>
      </w:r>
    </w:p>
  </w:endnote>
  <w:endnote w:type="continuationSeparator" w:id="0">
    <w:p w14:paraId="73C2C8F3" w14:textId="77777777" w:rsidR="00F76DDD" w:rsidRDefault="00F76DDD" w:rsidP="007D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F27E" w14:textId="77777777" w:rsidR="00F76DDD" w:rsidRDefault="00F76DDD" w:rsidP="007D0C08">
      <w:r>
        <w:separator/>
      </w:r>
    </w:p>
  </w:footnote>
  <w:footnote w:type="continuationSeparator" w:id="0">
    <w:p w14:paraId="42E0C5F9" w14:textId="77777777" w:rsidR="00F76DDD" w:rsidRDefault="00F76DDD" w:rsidP="007D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0B24" w14:textId="329FC362" w:rsidR="000E643A" w:rsidRPr="000E643A" w:rsidRDefault="000E643A" w:rsidP="000E643A">
    <w:pPr>
      <w:pStyle w:val="a4"/>
      <w:jc w:val="right"/>
      <w:rPr>
        <w:rFonts w:ascii="標楷體" w:eastAsia="標楷體" w:hAnsi="標楷體"/>
      </w:rPr>
    </w:pPr>
    <w:r w:rsidRPr="000E643A"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85A"/>
    <w:multiLevelType w:val="hybridMultilevel"/>
    <w:tmpl w:val="7D6E781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EB943FBA">
      <w:start w:val="1"/>
      <w:numFmt w:val="taiwaneseCountingThousand"/>
      <w:lvlText w:val="(%2)"/>
      <w:lvlJc w:val="left"/>
      <w:pPr>
        <w:ind w:left="166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C402342"/>
    <w:multiLevelType w:val="hybridMultilevel"/>
    <w:tmpl w:val="475850DA"/>
    <w:lvl w:ilvl="0" w:tplc="E6500656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559EF4FC">
      <w:start w:val="1"/>
      <w:numFmt w:val="taiwaneseCountingThousand"/>
      <w:lvlText w:val="%2、"/>
      <w:lvlJc w:val="left"/>
      <w:pPr>
        <w:ind w:left="960" w:hanging="48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9622F9"/>
    <w:multiLevelType w:val="hybridMultilevel"/>
    <w:tmpl w:val="DB18B1B8"/>
    <w:lvl w:ilvl="0" w:tplc="6248E1C4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B943FB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3A1FEA"/>
    <w:multiLevelType w:val="hybridMultilevel"/>
    <w:tmpl w:val="BAE802F2"/>
    <w:lvl w:ilvl="0" w:tplc="D5F0FC60">
      <w:start w:val="1"/>
      <w:numFmt w:val="taiwaneseCountingThousand"/>
      <w:lvlText w:val="%1、"/>
      <w:lvlJc w:val="left"/>
      <w:pPr>
        <w:ind w:left="1189" w:hanging="480"/>
      </w:pPr>
      <w:rPr>
        <w:b w:val="0"/>
        <w:bCs w:val="0"/>
      </w:rPr>
    </w:lvl>
    <w:lvl w:ilvl="1" w:tplc="5EECE562">
      <w:start w:val="1"/>
      <w:numFmt w:val="taiwaneseCountingThousand"/>
      <w:lvlText w:val="(%2)"/>
      <w:lvlJc w:val="left"/>
      <w:pPr>
        <w:ind w:left="1669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5A665118"/>
    <w:multiLevelType w:val="hybridMultilevel"/>
    <w:tmpl w:val="A73ADA3E"/>
    <w:lvl w:ilvl="0" w:tplc="0122F04E">
      <w:start w:val="1"/>
      <w:numFmt w:val="taiwaneseCountingThousand"/>
      <w:lvlText w:val="%1、"/>
      <w:lvlJc w:val="left"/>
      <w:pPr>
        <w:ind w:left="1189" w:hanging="480"/>
      </w:pPr>
      <w:rPr>
        <w:b w:val="0"/>
        <w:bCs w:val="0"/>
      </w:rPr>
    </w:lvl>
    <w:lvl w:ilvl="1" w:tplc="EB943FBA">
      <w:start w:val="1"/>
      <w:numFmt w:val="taiwaneseCountingThousand"/>
      <w:lvlText w:val="(%2)"/>
      <w:lvlJc w:val="left"/>
      <w:pPr>
        <w:ind w:left="1669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63C832F3"/>
    <w:multiLevelType w:val="hybridMultilevel"/>
    <w:tmpl w:val="A814B798"/>
    <w:lvl w:ilvl="0" w:tplc="D5F0FC60">
      <w:start w:val="1"/>
      <w:numFmt w:val="taiwaneseCountingThousand"/>
      <w:lvlText w:val="%1、"/>
      <w:lvlJc w:val="left"/>
      <w:pPr>
        <w:ind w:left="1189" w:hanging="480"/>
      </w:pPr>
      <w:rPr>
        <w:b w:val="0"/>
        <w:bCs w:val="0"/>
      </w:rPr>
    </w:lvl>
    <w:lvl w:ilvl="1" w:tplc="EB943FBA">
      <w:start w:val="1"/>
      <w:numFmt w:val="taiwaneseCountingThousand"/>
      <w:lvlText w:val="(%2)"/>
      <w:lvlJc w:val="left"/>
      <w:pPr>
        <w:ind w:left="166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699960C8"/>
    <w:multiLevelType w:val="hybridMultilevel"/>
    <w:tmpl w:val="4E14A7C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739910E3"/>
    <w:multiLevelType w:val="hybridMultilevel"/>
    <w:tmpl w:val="24461A6C"/>
    <w:lvl w:ilvl="0" w:tplc="75BAFF4C">
      <w:start w:val="1"/>
      <w:numFmt w:val="taiwaneseCountingThousand"/>
      <w:lvlText w:val="%1、"/>
      <w:lvlJc w:val="left"/>
      <w:pPr>
        <w:ind w:left="1189" w:hanging="480"/>
      </w:pPr>
      <w:rPr>
        <w:b w:val="0"/>
        <w:bCs w:val="0"/>
      </w:rPr>
    </w:lvl>
    <w:lvl w:ilvl="1" w:tplc="15F01C7C">
      <w:start w:val="1"/>
      <w:numFmt w:val="taiwaneseCountingThousand"/>
      <w:lvlText w:val="(%2)"/>
      <w:lvlJc w:val="left"/>
      <w:pPr>
        <w:ind w:left="1669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4F"/>
    <w:rsid w:val="000E643A"/>
    <w:rsid w:val="00386211"/>
    <w:rsid w:val="003E3FDC"/>
    <w:rsid w:val="00571E4F"/>
    <w:rsid w:val="005816F7"/>
    <w:rsid w:val="005C608F"/>
    <w:rsid w:val="005D0259"/>
    <w:rsid w:val="00766421"/>
    <w:rsid w:val="007D0C08"/>
    <w:rsid w:val="007E6388"/>
    <w:rsid w:val="009C1595"/>
    <w:rsid w:val="00A84F46"/>
    <w:rsid w:val="00D22748"/>
    <w:rsid w:val="00F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C7AE5"/>
  <w15:chartTrackingRefBased/>
  <w15:docId w15:val="{B25B7009-CFAE-4693-85EB-6B208072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0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0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0C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0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0C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張琬郁</dc:creator>
  <cp:keywords/>
  <dc:description/>
  <cp:lastModifiedBy>張琬郁</cp:lastModifiedBy>
  <cp:revision>8</cp:revision>
  <dcterms:created xsi:type="dcterms:W3CDTF">2025-10-03T06:25:00Z</dcterms:created>
  <dcterms:modified xsi:type="dcterms:W3CDTF">2025-11-10T05:06:00Z</dcterms:modified>
</cp:coreProperties>
</file>