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2F" w:rsidRDefault="00A91BCC">
      <w:pPr>
        <w:tabs>
          <w:tab w:val="left" w:pos="8505"/>
        </w:tabs>
        <w:jc w:val="center"/>
      </w:pPr>
      <w:r>
        <w:rPr>
          <w:rFonts w:ascii="Times New Roman" w:eastAsia="標楷體" w:hAnsi="Times New Roman"/>
          <w:b/>
          <w:sz w:val="36"/>
          <w:szCs w:val="32"/>
        </w:rPr>
        <w:t>流感疫苗接種須知及意願書</w:t>
      </w:r>
    </w:p>
    <w:p w:rsidR="00A0502F" w:rsidRDefault="00A91BCC">
      <w:pPr>
        <w:snapToGrid w:val="0"/>
        <w:spacing w:before="24" w:line="260" w:lineRule="exact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保護效果：</w:t>
      </w:r>
    </w:p>
    <w:p w:rsidR="00A0502F" w:rsidRDefault="00A91BCC">
      <w:pPr>
        <w:snapToGrid w:val="0"/>
        <w:spacing w:line="260" w:lineRule="exact"/>
        <w:jc w:val="both"/>
      </w:pPr>
      <w:r>
        <w:rPr>
          <w:rFonts w:ascii="Times New Roman" w:eastAsia="標楷體" w:hAnsi="Times New Roman"/>
          <w:sz w:val="26"/>
          <w:szCs w:val="26"/>
        </w:rPr>
        <w:t>疫苗的保護效果需視當年使用的疫苗株是否與實際流行的</w:t>
      </w:r>
      <w:proofErr w:type="gramStart"/>
      <w:r>
        <w:rPr>
          <w:rFonts w:ascii="Times New Roman" w:eastAsia="標楷體" w:hAnsi="Times New Roman"/>
          <w:sz w:val="26"/>
          <w:szCs w:val="26"/>
        </w:rPr>
        <w:t>病毒株型別</w:t>
      </w:r>
      <w:proofErr w:type="gramEnd"/>
      <w:r>
        <w:rPr>
          <w:rFonts w:ascii="Times New Roman" w:eastAsia="標楷體" w:hAnsi="Times New Roman"/>
          <w:sz w:val="26"/>
          <w:szCs w:val="26"/>
        </w:rPr>
        <w:t>相符、以及不同年齡或身體狀況而異，平均約為</w:t>
      </w:r>
      <w:r>
        <w:rPr>
          <w:rFonts w:ascii="Times New Roman" w:eastAsia="標楷體" w:hAnsi="Times New Roman"/>
          <w:sz w:val="26"/>
          <w:szCs w:val="26"/>
        </w:rPr>
        <w:t>30–80%</w:t>
      </w:r>
      <w:r>
        <w:rPr>
          <w:rFonts w:ascii="Times New Roman" w:eastAsia="標楷體" w:hAnsi="Times New Roman"/>
          <w:sz w:val="26"/>
          <w:szCs w:val="26"/>
        </w:rPr>
        <w:t>。對</w:t>
      </w:r>
      <w:r>
        <w:rPr>
          <w:rFonts w:ascii="Times New Roman" w:eastAsia="標楷體" w:hAnsi="Times New Roman"/>
          <w:sz w:val="26"/>
          <w:szCs w:val="26"/>
        </w:rPr>
        <w:t>18</w:t>
      </w:r>
      <w:r>
        <w:rPr>
          <w:rFonts w:ascii="Times New Roman" w:eastAsia="標楷體" w:hAnsi="Times New Roman"/>
          <w:sz w:val="26"/>
          <w:szCs w:val="26"/>
        </w:rPr>
        <w:t>歲以上成人</w:t>
      </w:r>
      <w:proofErr w:type="gramStart"/>
      <w:r>
        <w:rPr>
          <w:rFonts w:ascii="Times New Roman" w:eastAsia="標楷體" w:hAnsi="Times New Roman"/>
          <w:sz w:val="26"/>
          <w:szCs w:val="26"/>
        </w:rPr>
        <w:t>因確診流</w:t>
      </w:r>
      <w:proofErr w:type="gramEnd"/>
      <w:r>
        <w:rPr>
          <w:rFonts w:ascii="Times New Roman" w:eastAsia="標楷體" w:hAnsi="Times New Roman"/>
          <w:sz w:val="26"/>
          <w:szCs w:val="26"/>
        </w:rPr>
        <w:t>感而住院的保護力約有</w:t>
      </w:r>
      <w:r>
        <w:rPr>
          <w:rFonts w:ascii="Times New Roman" w:eastAsia="標楷體" w:hAnsi="Times New Roman"/>
          <w:sz w:val="26"/>
          <w:szCs w:val="26"/>
        </w:rPr>
        <w:t>41%</w:t>
      </w:r>
      <w:r>
        <w:rPr>
          <w:rFonts w:ascii="Times New Roman" w:eastAsia="標楷體" w:hAnsi="Times New Roman"/>
          <w:sz w:val="26"/>
          <w:szCs w:val="26"/>
        </w:rPr>
        <w:t>，入住加護病房的</w:t>
      </w:r>
      <w:proofErr w:type="gramStart"/>
      <w:r>
        <w:rPr>
          <w:rFonts w:ascii="Times New Roman" w:eastAsia="標楷體" w:hAnsi="Times New Roman"/>
          <w:sz w:val="26"/>
          <w:szCs w:val="26"/>
        </w:rPr>
        <w:t>流感重</w:t>
      </w:r>
      <w:proofErr w:type="gramEnd"/>
      <w:r>
        <w:rPr>
          <w:rFonts w:ascii="Times New Roman" w:eastAsia="標楷體" w:hAnsi="Times New Roman"/>
          <w:sz w:val="26"/>
          <w:szCs w:val="26"/>
        </w:rPr>
        <w:t>症保護力則可達</w:t>
      </w:r>
      <w:r>
        <w:rPr>
          <w:rFonts w:ascii="Times New Roman" w:eastAsia="標楷體" w:hAnsi="Times New Roman"/>
          <w:sz w:val="26"/>
          <w:szCs w:val="26"/>
        </w:rPr>
        <w:t>82%</w:t>
      </w:r>
      <w:r>
        <w:rPr>
          <w:rFonts w:ascii="Times New Roman" w:eastAsia="標楷體" w:hAnsi="Times New Roman"/>
          <w:sz w:val="26"/>
          <w:szCs w:val="26"/>
        </w:rPr>
        <w:t>。</w:t>
      </w:r>
      <w:r>
        <w:rPr>
          <w:rFonts w:ascii="Times New Roman" w:eastAsia="標楷體" w:hAnsi="Times New Roman"/>
          <w:sz w:val="26"/>
          <w:szCs w:val="26"/>
        </w:rPr>
        <w:t>6</w:t>
      </w:r>
      <w:r>
        <w:rPr>
          <w:rFonts w:ascii="Times New Roman" w:eastAsia="標楷體" w:hAnsi="Times New Roman"/>
          <w:sz w:val="26"/>
          <w:szCs w:val="26"/>
        </w:rPr>
        <w:t>個月至未滿</w:t>
      </w:r>
      <w:r>
        <w:rPr>
          <w:rFonts w:ascii="Times New Roman" w:eastAsia="標楷體" w:hAnsi="Times New Roman"/>
          <w:sz w:val="26"/>
          <w:szCs w:val="26"/>
        </w:rPr>
        <w:t>18</w:t>
      </w:r>
      <w:r>
        <w:rPr>
          <w:rFonts w:ascii="Times New Roman" w:eastAsia="標楷體" w:hAnsi="Times New Roman"/>
          <w:sz w:val="26"/>
          <w:szCs w:val="26"/>
        </w:rPr>
        <w:t>歲兒童青少年族群接種流感疫苗之保護力與成人相仿。由於每年流行的流感病毒型別不一定相同，因此，</w:t>
      </w:r>
      <w:proofErr w:type="gramStart"/>
      <w:r>
        <w:rPr>
          <w:rFonts w:ascii="Times New Roman" w:eastAsia="標楷體" w:hAnsi="Times New Roman"/>
          <w:sz w:val="26"/>
          <w:szCs w:val="26"/>
        </w:rPr>
        <w:t>每年均須重新</w:t>
      </w:r>
      <w:proofErr w:type="gramEnd"/>
      <w:r>
        <w:rPr>
          <w:rFonts w:ascii="Times New Roman" w:eastAsia="標楷體" w:hAnsi="Times New Roman"/>
          <w:sz w:val="26"/>
          <w:szCs w:val="26"/>
        </w:rPr>
        <w:t>接種。</w:t>
      </w:r>
      <w:r>
        <w:rPr>
          <w:rFonts w:ascii="Times New Roman" w:eastAsia="標楷體" w:hAnsi="Times New Roman"/>
        </w:rPr>
        <w:t>本計畫使用依據世界衛生組織每年對北半球建議價數（三價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/>
        </w:rPr>
        <w:t>四價）及抗原成分之流感疫苗，其保護效力與國際各國狀況相同。三</w:t>
      </w:r>
      <w:proofErr w:type="gramStart"/>
      <w:r>
        <w:rPr>
          <w:rFonts w:ascii="Times New Roman" w:eastAsia="標楷體" w:hAnsi="Times New Roman"/>
        </w:rPr>
        <w:t>價流感</w:t>
      </w:r>
      <w:proofErr w:type="gramEnd"/>
      <w:r>
        <w:rPr>
          <w:rFonts w:ascii="Times New Roman" w:eastAsia="標楷體" w:hAnsi="Times New Roman"/>
        </w:rPr>
        <w:t>疫苗包含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種不活化病毒株，即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種</w:t>
      </w:r>
      <w:r>
        <w:rPr>
          <w:rFonts w:ascii="Times New Roman" w:eastAsia="標楷體" w:hAnsi="Times New Roman"/>
        </w:rPr>
        <w:t>A</w:t>
      </w:r>
      <w:r>
        <w:rPr>
          <w:rFonts w:ascii="Times New Roman" w:eastAsia="標楷體" w:hAnsi="Times New Roman"/>
        </w:rPr>
        <w:t>型（</w:t>
      </w:r>
      <w:r>
        <w:rPr>
          <w:rFonts w:ascii="Times New Roman" w:eastAsia="標楷體" w:hAnsi="Times New Roman"/>
        </w:rPr>
        <w:t>H1N1</w:t>
      </w:r>
      <w:r>
        <w:rPr>
          <w:rFonts w:ascii="Times New Roman" w:eastAsia="標楷體" w:hAnsi="Times New Roman"/>
        </w:rPr>
        <w:t>及</w:t>
      </w:r>
      <w:r>
        <w:rPr>
          <w:rFonts w:ascii="Times New Roman" w:eastAsia="標楷體" w:hAnsi="Times New Roman"/>
        </w:rPr>
        <w:t>H3N2</w:t>
      </w:r>
      <w:r>
        <w:rPr>
          <w:rFonts w:ascii="Times New Roman" w:eastAsia="標楷體" w:hAnsi="Times New Roman"/>
        </w:rPr>
        <w:t>）及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種</w:t>
      </w:r>
      <w:r>
        <w:rPr>
          <w:rFonts w:ascii="Times New Roman" w:eastAsia="標楷體" w:hAnsi="Times New Roman"/>
        </w:rPr>
        <w:t>B</w:t>
      </w:r>
      <w:r>
        <w:rPr>
          <w:rFonts w:ascii="Times New Roman" w:eastAsia="標楷體" w:hAnsi="Times New Roman"/>
        </w:rPr>
        <w:t>型（</w:t>
      </w:r>
      <w:r>
        <w:rPr>
          <w:rFonts w:ascii="Times New Roman" w:eastAsia="標楷體" w:hAnsi="Times New Roman"/>
        </w:rPr>
        <w:t>Victoria</w:t>
      </w:r>
      <w:r>
        <w:rPr>
          <w:rFonts w:ascii="Times New Roman" w:eastAsia="標楷體" w:hAnsi="Times New Roman"/>
        </w:rPr>
        <w:t>），四</w:t>
      </w:r>
      <w:proofErr w:type="gramStart"/>
      <w:r>
        <w:rPr>
          <w:rFonts w:ascii="Times New Roman" w:eastAsia="標楷體" w:hAnsi="Times New Roman"/>
        </w:rPr>
        <w:t>價流</w:t>
      </w:r>
      <w:proofErr w:type="gramEnd"/>
      <w:r>
        <w:rPr>
          <w:rFonts w:ascii="Times New Roman" w:eastAsia="標楷體" w:hAnsi="Times New Roman"/>
        </w:rPr>
        <w:t>感疫苗另新增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種</w:t>
      </w:r>
      <w:r>
        <w:rPr>
          <w:rFonts w:ascii="Times New Roman" w:eastAsia="標楷體" w:hAnsi="Times New Roman"/>
        </w:rPr>
        <w:t>B</w:t>
      </w:r>
      <w:r>
        <w:rPr>
          <w:rFonts w:ascii="Times New Roman" w:eastAsia="標楷體" w:hAnsi="Times New Roman"/>
        </w:rPr>
        <w:t>型不活化病毒株（</w:t>
      </w:r>
      <w:r>
        <w:rPr>
          <w:rFonts w:ascii="Times New Roman" w:eastAsia="標楷體" w:hAnsi="Times New Roman"/>
        </w:rPr>
        <w:t>Yamagata</w:t>
      </w:r>
      <w:r>
        <w:rPr>
          <w:rFonts w:ascii="Times New Roman" w:eastAsia="標楷體" w:hAnsi="Times New Roman"/>
        </w:rPr>
        <w:t>）</w:t>
      </w:r>
      <w:r>
        <w:rPr>
          <w:rFonts w:ascii="Times New Roman" w:eastAsia="標楷體" w:hAnsi="Times New Roman"/>
          <w:sz w:val="26"/>
          <w:szCs w:val="26"/>
        </w:rPr>
        <w:t>。</w:t>
      </w:r>
      <w:r>
        <w:rPr>
          <w:rFonts w:ascii="Times New Roman" w:eastAsia="標楷體" w:hAnsi="Times New Roman"/>
          <w:color w:val="FF0000"/>
          <w:sz w:val="26"/>
          <w:szCs w:val="26"/>
        </w:rPr>
        <w:t>本（</w:t>
      </w:r>
      <w:r>
        <w:rPr>
          <w:rFonts w:ascii="Times New Roman" w:eastAsia="標楷體" w:hAnsi="Times New Roman"/>
          <w:color w:val="FF0000"/>
          <w:sz w:val="26"/>
          <w:szCs w:val="26"/>
        </w:rPr>
        <w:t>113</w:t>
      </w:r>
      <w:r>
        <w:rPr>
          <w:rFonts w:ascii="Times New Roman" w:eastAsia="標楷體" w:hAnsi="Times New Roman"/>
          <w:color w:val="FF0000"/>
          <w:sz w:val="26"/>
          <w:szCs w:val="26"/>
        </w:rPr>
        <w:t>）年度政府採購的四</w:t>
      </w:r>
      <w:proofErr w:type="gramStart"/>
      <w:r>
        <w:rPr>
          <w:rFonts w:ascii="Times New Roman" w:eastAsia="標楷體" w:hAnsi="Times New Roman"/>
          <w:color w:val="FF0000"/>
          <w:sz w:val="26"/>
          <w:szCs w:val="26"/>
        </w:rPr>
        <w:t>價流感</w:t>
      </w:r>
      <w:proofErr w:type="gramEnd"/>
      <w:r>
        <w:rPr>
          <w:rFonts w:ascii="Times New Roman" w:eastAsia="標楷體" w:hAnsi="Times New Roman"/>
          <w:color w:val="FF0000"/>
          <w:sz w:val="26"/>
          <w:szCs w:val="26"/>
        </w:rPr>
        <w:t>疫苗含有世界衛生組織所建議之抗原成分，保護效力與國際各國狀況相同。</w:t>
      </w:r>
      <w:r>
        <w:rPr>
          <w:rFonts w:ascii="Times New Roman" w:eastAsia="標楷體" w:hAnsi="Times New Roman"/>
          <w:sz w:val="26"/>
          <w:szCs w:val="26"/>
        </w:rPr>
        <w:t>接種後至少約需</w:t>
      </w:r>
      <w:r>
        <w:rPr>
          <w:rFonts w:ascii="Times New Roman" w:eastAsia="標楷體" w:hAnsi="Times New Roman"/>
          <w:sz w:val="26"/>
          <w:szCs w:val="26"/>
        </w:rPr>
        <w:t>2</w:t>
      </w:r>
      <w:proofErr w:type="gramStart"/>
      <w:r>
        <w:rPr>
          <w:rFonts w:ascii="Times New Roman" w:eastAsia="標楷體" w:hAnsi="Times New Roman"/>
          <w:sz w:val="26"/>
          <w:szCs w:val="26"/>
        </w:rPr>
        <w:t>週</w:t>
      </w:r>
      <w:proofErr w:type="gramEnd"/>
      <w:r>
        <w:rPr>
          <w:rFonts w:ascii="Times New Roman" w:eastAsia="標楷體" w:hAnsi="Times New Roman"/>
          <w:sz w:val="26"/>
          <w:szCs w:val="26"/>
        </w:rPr>
        <w:t>的時間以產生保</w:t>
      </w:r>
      <w:r>
        <w:rPr>
          <w:rFonts w:ascii="Times New Roman" w:eastAsia="標楷體" w:hAnsi="Times New Roman"/>
          <w:sz w:val="26"/>
          <w:szCs w:val="26"/>
        </w:rPr>
        <w:t>護力，其保護效果可持續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年。完成疫苗接種後，雖可有效降低感染流感病毒的機率，但仍可能</w:t>
      </w:r>
      <w:proofErr w:type="gramStart"/>
      <w:r>
        <w:rPr>
          <w:rFonts w:ascii="Times New Roman" w:eastAsia="標楷體" w:hAnsi="Times New Roman"/>
          <w:sz w:val="26"/>
          <w:szCs w:val="26"/>
        </w:rPr>
        <w:t>罹</w:t>
      </w:r>
      <w:proofErr w:type="gramEnd"/>
      <w:r>
        <w:rPr>
          <w:rFonts w:ascii="Times New Roman" w:eastAsia="標楷體" w:hAnsi="Times New Roman"/>
          <w:sz w:val="26"/>
          <w:szCs w:val="26"/>
        </w:rPr>
        <w:t>患其他病毒所引起的呼吸道感染，請注意個人衛生保健及各種預防措施，維護身體健康。</w:t>
      </w:r>
    </w:p>
    <w:p w:rsidR="00A0502F" w:rsidRDefault="00A91BCC">
      <w:pPr>
        <w:snapToGrid w:val="0"/>
        <w:spacing w:before="24" w:line="260" w:lineRule="exact"/>
      </w:pPr>
      <w:r>
        <w:rPr>
          <w:rFonts w:ascii="Times New Roman" w:eastAsia="標楷體" w:hAnsi="Times New Roman"/>
          <w:b/>
          <w:sz w:val="26"/>
          <w:szCs w:val="26"/>
        </w:rPr>
        <w:t>接種禁忌：</w:t>
      </w:r>
    </w:p>
    <w:p w:rsidR="00A0502F" w:rsidRDefault="00A91BCC">
      <w:pPr>
        <w:pStyle w:val="2-2-25"/>
        <w:snapToGrid w:val="0"/>
        <w:spacing w:line="260" w:lineRule="exact"/>
        <w:ind w:left="599" w:hanging="585"/>
        <w:rPr>
          <w:sz w:val="26"/>
          <w:szCs w:val="26"/>
        </w:rPr>
      </w:pPr>
      <w:r>
        <w:rPr>
          <w:sz w:val="26"/>
          <w:szCs w:val="26"/>
        </w:rPr>
        <w:t>一、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已知對疫苗</w:t>
      </w:r>
      <w:proofErr w:type="gramEnd"/>
      <w:r>
        <w:rPr>
          <w:sz w:val="26"/>
          <w:szCs w:val="26"/>
        </w:rPr>
        <w:t>的成分有過敏者，不予接種。</w:t>
      </w:r>
    </w:p>
    <w:p w:rsidR="00A0502F" w:rsidRDefault="00A91BCC">
      <w:pPr>
        <w:pStyle w:val="2-2-25"/>
        <w:snapToGrid w:val="0"/>
        <w:spacing w:line="260" w:lineRule="exact"/>
        <w:ind w:left="599" w:hanging="585"/>
        <w:rPr>
          <w:sz w:val="26"/>
          <w:szCs w:val="26"/>
        </w:rPr>
      </w:pPr>
      <w:r>
        <w:rPr>
          <w:sz w:val="26"/>
          <w:szCs w:val="26"/>
        </w:rPr>
        <w:t>二、</w:t>
      </w:r>
      <w:r>
        <w:rPr>
          <w:sz w:val="26"/>
          <w:szCs w:val="26"/>
        </w:rPr>
        <w:tab/>
      </w:r>
      <w:r>
        <w:rPr>
          <w:sz w:val="26"/>
          <w:szCs w:val="26"/>
        </w:rPr>
        <w:t>過去注射曾經發生嚴重不良反應者，不予接種。</w:t>
      </w:r>
    </w:p>
    <w:p w:rsidR="00A0502F" w:rsidRDefault="00A91BCC">
      <w:pPr>
        <w:pStyle w:val="2-2-25"/>
        <w:snapToGrid w:val="0"/>
        <w:spacing w:before="24" w:line="260" w:lineRule="exact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接種注意事項：</w:t>
      </w:r>
    </w:p>
    <w:p w:rsidR="00A0502F" w:rsidRDefault="00A91BCC">
      <w:pPr>
        <w:pStyle w:val="2-2-25"/>
        <w:numPr>
          <w:ilvl w:val="0"/>
          <w:numId w:val="2"/>
        </w:numPr>
        <w:snapToGrid w:val="0"/>
        <w:spacing w:line="260" w:lineRule="exact"/>
        <w:ind w:left="567" w:hanging="553"/>
        <w:rPr>
          <w:sz w:val="26"/>
          <w:szCs w:val="26"/>
        </w:rPr>
      </w:pPr>
      <w:r>
        <w:rPr>
          <w:sz w:val="26"/>
          <w:szCs w:val="26"/>
        </w:rPr>
        <w:t>發燒或正患有急性中重疾病</w:t>
      </w:r>
      <w:bookmarkStart w:id="0" w:name="_GoBack"/>
      <w:r>
        <w:rPr>
          <w:sz w:val="26"/>
          <w:szCs w:val="26"/>
        </w:rPr>
        <w:t>者，宜待病情穩定後再接種。</w:t>
      </w:r>
    </w:p>
    <w:p w:rsidR="00A0502F" w:rsidRDefault="00A91BCC">
      <w:pPr>
        <w:pStyle w:val="2-2-25"/>
        <w:numPr>
          <w:ilvl w:val="0"/>
          <w:numId w:val="2"/>
        </w:numPr>
        <w:snapToGrid w:val="0"/>
        <w:spacing w:line="260" w:lineRule="exact"/>
        <w:ind w:left="567" w:hanging="553"/>
        <w:rPr>
          <w:sz w:val="26"/>
          <w:szCs w:val="26"/>
        </w:rPr>
      </w:pPr>
      <w:r>
        <w:rPr>
          <w:sz w:val="26"/>
          <w:szCs w:val="26"/>
        </w:rPr>
        <w:t>出生未滿</w:t>
      </w:r>
      <w:r>
        <w:rPr>
          <w:sz w:val="26"/>
          <w:szCs w:val="26"/>
        </w:rPr>
        <w:t>6</w:t>
      </w:r>
      <w:r>
        <w:rPr>
          <w:sz w:val="26"/>
          <w:szCs w:val="26"/>
        </w:rPr>
        <w:t>個月，因無使用效益及安全性等臨床資料，故不予接種。</w:t>
      </w:r>
    </w:p>
    <w:p w:rsidR="00A0502F" w:rsidRDefault="00A91BCC">
      <w:pPr>
        <w:pStyle w:val="2-2-25"/>
        <w:numPr>
          <w:ilvl w:val="0"/>
          <w:numId w:val="2"/>
        </w:numPr>
        <w:snapToGrid w:val="0"/>
        <w:spacing w:line="260" w:lineRule="exact"/>
        <w:ind w:left="567" w:hanging="553"/>
        <w:rPr>
          <w:sz w:val="26"/>
          <w:szCs w:val="26"/>
        </w:rPr>
      </w:pPr>
      <w:r>
        <w:rPr>
          <w:sz w:val="26"/>
          <w:szCs w:val="26"/>
        </w:rPr>
        <w:t>先前接種本疫苗六</w:t>
      </w:r>
      <w:proofErr w:type="gramStart"/>
      <w:r>
        <w:rPr>
          <w:sz w:val="26"/>
          <w:szCs w:val="26"/>
        </w:rPr>
        <w:t>週</w:t>
      </w:r>
      <w:proofErr w:type="gramEnd"/>
      <w:r>
        <w:rPr>
          <w:sz w:val="26"/>
          <w:szCs w:val="26"/>
        </w:rPr>
        <w:t>內曾發生</w:t>
      </w:r>
      <w:r>
        <w:rPr>
          <w:sz w:val="26"/>
          <w:szCs w:val="26"/>
        </w:rPr>
        <w:t>Guillain-Barré</w:t>
      </w:r>
      <w:r>
        <w:rPr>
          <w:sz w:val="26"/>
          <w:szCs w:val="26"/>
        </w:rPr>
        <w:t>症候群（</w:t>
      </w:r>
      <w:r>
        <w:rPr>
          <w:sz w:val="26"/>
          <w:szCs w:val="26"/>
        </w:rPr>
        <w:t>GBS</w:t>
      </w:r>
      <w:r>
        <w:rPr>
          <w:sz w:val="26"/>
          <w:szCs w:val="26"/>
        </w:rPr>
        <w:t>）者，宜請醫師評估。</w:t>
      </w:r>
    </w:p>
    <w:p w:rsidR="00A0502F" w:rsidRDefault="00A91BCC">
      <w:pPr>
        <w:pStyle w:val="2-2-25"/>
        <w:numPr>
          <w:ilvl w:val="0"/>
          <w:numId w:val="2"/>
        </w:numPr>
        <w:snapToGrid w:val="0"/>
        <w:spacing w:line="260" w:lineRule="exact"/>
        <w:ind w:left="567" w:hanging="553"/>
        <w:rPr>
          <w:sz w:val="26"/>
          <w:szCs w:val="26"/>
        </w:rPr>
      </w:pPr>
      <w:r>
        <w:rPr>
          <w:sz w:val="26"/>
          <w:szCs w:val="26"/>
        </w:rPr>
        <w:t>其他經醫師評估不適合接種者，不予接種。</w:t>
      </w:r>
    </w:p>
    <w:p w:rsidR="00A0502F" w:rsidRDefault="00A91BCC">
      <w:pPr>
        <w:pStyle w:val="2-2-25"/>
        <w:snapToGrid w:val="0"/>
        <w:spacing w:before="24" w:line="260" w:lineRule="exact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安全性及副作用：</w:t>
      </w:r>
    </w:p>
    <w:bookmarkEnd w:id="0"/>
    <w:p w:rsidR="00A0502F" w:rsidRDefault="00A91BCC">
      <w:pPr>
        <w:snapToGrid w:val="0"/>
        <w:spacing w:line="26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　　流感疫苗是由死病毒製成的</w:t>
      </w:r>
      <w:proofErr w:type="gramStart"/>
      <w:r>
        <w:rPr>
          <w:rFonts w:ascii="Times New Roman" w:eastAsia="標楷體" w:hAnsi="Times New Roman"/>
          <w:sz w:val="26"/>
          <w:szCs w:val="26"/>
        </w:rPr>
        <w:t>不</w:t>
      </w:r>
      <w:proofErr w:type="gramEnd"/>
      <w:r>
        <w:rPr>
          <w:rFonts w:ascii="Times New Roman" w:eastAsia="標楷體" w:hAnsi="Times New Roman"/>
          <w:sz w:val="26"/>
          <w:szCs w:val="26"/>
        </w:rPr>
        <w:t>活化疫苗，因此不會因為接種流感疫苗而得到流感。接種後可能會有注射部位</w:t>
      </w:r>
      <w:proofErr w:type="gramStart"/>
      <w:r>
        <w:rPr>
          <w:rFonts w:ascii="Times New Roman" w:eastAsia="標楷體" w:hAnsi="Times New Roman"/>
          <w:sz w:val="26"/>
          <w:szCs w:val="26"/>
        </w:rPr>
        <w:t>疼痛、</w:t>
      </w:r>
      <w:proofErr w:type="gramEnd"/>
      <w:r>
        <w:rPr>
          <w:rFonts w:ascii="Times New Roman" w:eastAsia="標楷體" w:hAnsi="Times New Roman"/>
          <w:sz w:val="26"/>
          <w:szCs w:val="26"/>
        </w:rPr>
        <w:t>紅腫，少數的人會有全身性的輕微反應，如發燒、頭痛、肌肉酸痛、噁心、皮膚搔癢、蕁麻疹或紅疹等，ㄧ般會在發生後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至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天內自然恢復。和其他任何藥品一樣，雖然極少發生，但流感疫苗也有可能造成嚴重的副作用，如立即型過敏反應，甚至過敏性休克等不適情況（臨床表現包括呼吸困難、聲音沙啞、氣喘、眼睛或嘴唇腫脹、頭昏、心跳加速等），若不幸發生，通常於接種後幾分鐘至幾小</w:t>
      </w:r>
      <w:r>
        <w:rPr>
          <w:rFonts w:ascii="Times New Roman" w:eastAsia="標楷體" w:hAnsi="Times New Roman"/>
          <w:sz w:val="26"/>
          <w:szCs w:val="26"/>
        </w:rPr>
        <w:t>時內即出現症狀。其他曾被零星報告過之不良事件包括神經系統症狀</w:t>
      </w:r>
      <w:proofErr w:type="gramStart"/>
      <w:r>
        <w:rPr>
          <w:rFonts w:ascii="Times New Roman" w:eastAsia="標楷體" w:hAnsi="Times New Roman"/>
          <w:sz w:val="26"/>
          <w:szCs w:val="26"/>
        </w:rPr>
        <w:t>（</w:t>
      </w:r>
      <w:proofErr w:type="gramEnd"/>
      <w:r>
        <w:rPr>
          <w:rFonts w:ascii="Times New Roman" w:eastAsia="標楷體" w:hAnsi="Times New Roman"/>
          <w:sz w:val="26"/>
          <w:szCs w:val="26"/>
        </w:rPr>
        <w:t>如：臂</w:t>
      </w:r>
      <w:proofErr w:type="gramStart"/>
      <w:r>
        <w:rPr>
          <w:rFonts w:ascii="Times New Roman" w:eastAsia="標楷體" w:hAnsi="Times New Roman"/>
          <w:sz w:val="26"/>
          <w:szCs w:val="26"/>
        </w:rPr>
        <w:t>神經叢炎</w:t>
      </w:r>
      <w:proofErr w:type="gramEnd"/>
      <w:r>
        <w:rPr>
          <w:rFonts w:ascii="Times New Roman" w:eastAsia="標楷體" w:hAnsi="Times New Roman"/>
          <w:sz w:val="26"/>
          <w:szCs w:val="26"/>
        </w:rPr>
        <w:t>、顏面神經麻痺、熱痙攣、腦脊髓炎、對稱性神經麻痺為表現的</w:t>
      </w:r>
      <w:r>
        <w:rPr>
          <w:rFonts w:ascii="Times New Roman" w:eastAsia="標楷體" w:hAnsi="Times New Roman"/>
          <w:sz w:val="26"/>
          <w:szCs w:val="26"/>
        </w:rPr>
        <w:t>Guillain-Barré</w:t>
      </w:r>
      <w:r>
        <w:rPr>
          <w:rFonts w:ascii="Times New Roman" w:eastAsia="標楷體" w:hAnsi="Times New Roman"/>
          <w:sz w:val="26"/>
          <w:szCs w:val="26"/>
        </w:rPr>
        <w:t>症候群等）和血液系統症狀（如：暫時性血小板低下，臨床表現包括皮膚出現</w:t>
      </w:r>
      <w:proofErr w:type="gramStart"/>
      <w:r>
        <w:rPr>
          <w:rFonts w:ascii="Times New Roman" w:eastAsia="標楷體" w:hAnsi="Times New Roman"/>
          <w:sz w:val="26"/>
          <w:szCs w:val="26"/>
        </w:rPr>
        <w:t>紫斑或出血</w:t>
      </w:r>
      <w:proofErr w:type="gramEnd"/>
      <w:r>
        <w:rPr>
          <w:rFonts w:ascii="Times New Roman" w:eastAsia="標楷體" w:hAnsi="Times New Roman"/>
          <w:sz w:val="26"/>
          <w:szCs w:val="26"/>
        </w:rPr>
        <w:t>點、出血時不易止血等）。除了</w:t>
      </w:r>
      <w:proofErr w:type="gramStart"/>
      <w:r>
        <w:rPr>
          <w:rFonts w:ascii="Times New Roman" w:eastAsia="標楷體" w:hAnsi="Times New Roman"/>
          <w:sz w:val="26"/>
          <w:szCs w:val="26"/>
        </w:rPr>
        <w:t>1976</w:t>
      </w:r>
      <w:r>
        <w:rPr>
          <w:rFonts w:ascii="Times New Roman" w:eastAsia="標楷體" w:hAnsi="Times New Roman"/>
          <w:sz w:val="26"/>
          <w:szCs w:val="26"/>
        </w:rPr>
        <w:t>年豬流感</w:t>
      </w:r>
      <w:proofErr w:type="gramEnd"/>
      <w:r>
        <w:rPr>
          <w:rFonts w:ascii="Times New Roman" w:eastAsia="標楷體" w:hAnsi="Times New Roman"/>
          <w:sz w:val="26"/>
          <w:szCs w:val="26"/>
        </w:rPr>
        <w:t>疫苗、</w:t>
      </w:r>
      <w:r>
        <w:rPr>
          <w:rFonts w:ascii="Times New Roman" w:eastAsia="標楷體" w:hAnsi="Times New Roman"/>
          <w:sz w:val="26"/>
          <w:szCs w:val="26"/>
        </w:rPr>
        <w:t>2009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H1N1</w:t>
      </w:r>
      <w:r>
        <w:rPr>
          <w:rFonts w:ascii="Times New Roman" w:eastAsia="標楷體" w:hAnsi="Times New Roman"/>
          <w:sz w:val="26"/>
          <w:szCs w:val="26"/>
        </w:rPr>
        <w:t>新型流感疫苗與部分季節性流感疫苗經流行病學研究證實與</w:t>
      </w:r>
      <w:r>
        <w:rPr>
          <w:rFonts w:ascii="Times New Roman" w:eastAsia="標楷體" w:hAnsi="Times New Roman"/>
          <w:sz w:val="26"/>
          <w:szCs w:val="26"/>
        </w:rPr>
        <w:t>Guillain-Barré</w:t>
      </w:r>
      <w:r>
        <w:rPr>
          <w:rFonts w:ascii="Times New Roman" w:eastAsia="標楷體" w:hAnsi="Times New Roman"/>
          <w:sz w:val="26"/>
          <w:szCs w:val="26"/>
        </w:rPr>
        <w:t>症候群可能相關外，其他少有確切統計數據證明與接種流感疫苗有關。</w:t>
      </w:r>
      <w:proofErr w:type="gramStart"/>
      <w:r>
        <w:rPr>
          <w:rFonts w:ascii="Times New Roman" w:eastAsia="標楷體" w:hAnsi="Times New Roman"/>
          <w:sz w:val="26"/>
          <w:szCs w:val="26"/>
        </w:rPr>
        <w:t>此外，</w:t>
      </w:r>
      <w:proofErr w:type="gramEnd"/>
      <w:r>
        <w:rPr>
          <w:rFonts w:ascii="Times New Roman" w:eastAsia="標楷體" w:hAnsi="Times New Roman"/>
          <w:sz w:val="26"/>
          <w:szCs w:val="26"/>
        </w:rPr>
        <w:t>現有研究結果與世界衛生組織報告均顯示，孕婦於懷孕期間接種不</w:t>
      </w:r>
      <w:r>
        <w:rPr>
          <w:rFonts w:ascii="Times New Roman" w:eastAsia="標楷體" w:hAnsi="Times New Roman"/>
          <w:sz w:val="26"/>
          <w:szCs w:val="26"/>
        </w:rPr>
        <w:t>活化流感疫苗，並未增加妊娠及胎兒不良事件之風險。</w:t>
      </w:r>
    </w:p>
    <w:p w:rsidR="00A0502F" w:rsidRDefault="00A91BCC">
      <w:pPr>
        <w:snapToGrid w:val="0"/>
        <w:spacing w:line="260" w:lineRule="exact"/>
        <w:jc w:val="both"/>
      </w:pPr>
      <w:r>
        <w:rPr>
          <w:rFonts w:ascii="Times New Roman" w:eastAsia="標楷體" w:hAnsi="Times New Roman"/>
          <w:color w:val="FF0000"/>
          <w:sz w:val="26"/>
          <w:szCs w:val="26"/>
        </w:rPr>
        <w:t xml:space="preserve">　</w:t>
      </w:r>
      <w:r>
        <w:rPr>
          <w:rFonts w:ascii="Times New Roman" w:eastAsia="標楷體" w:hAnsi="Times New Roman"/>
          <w:sz w:val="26"/>
          <w:szCs w:val="26"/>
        </w:rPr>
        <w:t xml:space="preserve">　目前研究發現，雞蛋過敏者接種雞胚胎製程之流感疫苗並不會影響過敏反應發生率，國際上皆建議雞蛋過敏者可安心接種流感疫苗。</w:t>
      </w:r>
    </w:p>
    <w:p w:rsidR="00A0502F" w:rsidRDefault="00A0502F">
      <w:pPr>
        <w:snapToGrid w:val="0"/>
        <w:spacing w:before="24" w:line="260" w:lineRule="exact"/>
        <w:jc w:val="center"/>
        <w:rPr>
          <w:rFonts w:ascii="Times New Roman" w:eastAsia="標楷體" w:hAnsi="Times New Roman"/>
          <w:b/>
          <w:kern w:val="0"/>
          <w:szCs w:val="24"/>
        </w:rPr>
      </w:pPr>
    </w:p>
    <w:p w:rsidR="00A0502F" w:rsidRDefault="00A91BCC">
      <w:pPr>
        <w:snapToGrid w:val="0"/>
        <w:spacing w:before="24" w:line="260" w:lineRule="exact"/>
        <w:jc w:val="center"/>
        <w:rPr>
          <w:rFonts w:ascii="Times New Roman" w:eastAsia="標楷體" w:hAnsi="Times New Roman"/>
          <w:b/>
          <w:kern w:val="0"/>
          <w:szCs w:val="24"/>
        </w:rPr>
      </w:pPr>
      <w:proofErr w:type="gramStart"/>
      <w:r>
        <w:rPr>
          <w:rFonts w:ascii="Times New Roman" w:eastAsia="標楷體" w:hAnsi="Times New Roman"/>
          <w:b/>
          <w:kern w:val="0"/>
          <w:szCs w:val="24"/>
        </w:rPr>
        <w:t>請經醫師</w:t>
      </w:r>
      <w:proofErr w:type="gramEnd"/>
      <w:r>
        <w:rPr>
          <w:rFonts w:ascii="Times New Roman" w:eastAsia="標楷體" w:hAnsi="Times New Roman"/>
          <w:b/>
          <w:kern w:val="0"/>
          <w:szCs w:val="24"/>
        </w:rPr>
        <w:t>評估後接種</w:t>
      </w:r>
    </w:p>
    <w:p w:rsidR="00A0502F" w:rsidRDefault="00A91BCC">
      <w:pPr>
        <w:snapToGrid w:val="0"/>
        <w:spacing w:after="48" w:line="260" w:lineRule="exact"/>
        <w:jc w:val="center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t>衛生福利部疾病管制署</w:t>
      </w:r>
      <w:r>
        <w:rPr>
          <w:rFonts w:ascii="Times New Roman" w:eastAsia="標楷體" w:hAnsi="Times New Roman"/>
          <w:b/>
          <w:kern w:val="0"/>
          <w:szCs w:val="24"/>
        </w:rPr>
        <w:t xml:space="preserve">  </w:t>
      </w:r>
      <w:r>
        <w:rPr>
          <w:rFonts w:ascii="Times New Roman" w:eastAsia="標楷體" w:hAnsi="Times New Roman"/>
          <w:b/>
          <w:kern w:val="0"/>
          <w:szCs w:val="24"/>
        </w:rPr>
        <w:t>關心您</w:t>
      </w:r>
    </w:p>
    <w:p w:rsidR="00A0502F" w:rsidRDefault="00A91BCC">
      <w:pPr>
        <w:snapToGrid w:val="0"/>
        <w:spacing w:before="48" w:line="280" w:lineRule="exact"/>
        <w:jc w:val="center"/>
      </w:pPr>
      <w:r>
        <w:rPr>
          <w:rFonts w:ascii="Times New Roman" w:eastAsia="標楷體" w:hAnsi="Times New Roman"/>
          <w:b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101598</wp:posOffset>
                </wp:positionV>
                <wp:extent cx="6400800" cy="0"/>
                <wp:effectExtent l="0" t="0" r="0" b="0"/>
                <wp:wrapNone/>
                <wp:docPr id="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22229" cap="flat">
                          <a:solidFill>
                            <a:srgbClr val="000000"/>
                          </a:solidFill>
                          <a:custDash>
                            <a:ds d="299960" sp="29996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E168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7" o:spid="_x0000_s1026" type="#_x0000_t32" style="position:absolute;margin-left:0;margin-top:8pt;width:7in;height:0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" strokeweight=".61747mm">
                <w10:wrap anchorx="margin"/>
              </v:shape>
            </w:pict>
          </mc:Fallback>
        </mc:AlternateContent>
      </w:r>
    </w:p>
    <w:p w:rsidR="00A0502F" w:rsidRDefault="00A91BCC">
      <w:pPr>
        <w:snapToGrid w:val="0"/>
        <w:spacing w:before="48" w:line="280" w:lineRule="exact"/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流感疫苗接種意願書</w:t>
      </w:r>
    </w:p>
    <w:p w:rsidR="00A0502F" w:rsidRDefault="00A0502F">
      <w:pPr>
        <w:snapToGrid w:val="0"/>
        <w:spacing w:before="48" w:line="280" w:lineRule="exact"/>
        <w:jc w:val="center"/>
      </w:pPr>
    </w:p>
    <w:p w:rsidR="00A0502F" w:rsidRDefault="00A91BCC">
      <w:pPr>
        <w:snapToGrid w:val="0"/>
        <w:spacing w:line="2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請詳閱「流感疫苗接種須知」並填妥意願書，經醫師評估後接種。</w:t>
      </w:r>
    </w:p>
    <w:p w:rsidR="00A0502F" w:rsidRDefault="00A91BCC">
      <w:pPr>
        <w:snapToGrid w:val="0"/>
        <w:spacing w:line="2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接種者姓名：</w:t>
      </w:r>
      <w:r>
        <w:rPr>
          <w:rFonts w:ascii="Times New Roman" w:eastAsia="標楷體" w:hAnsi="Times New Roman"/>
          <w:szCs w:val="24"/>
        </w:rPr>
        <w:t>__________</w:t>
      </w:r>
    </w:p>
    <w:p w:rsidR="00A0502F" w:rsidRDefault="00A91BCC">
      <w:pPr>
        <w:snapToGrid w:val="0"/>
        <w:spacing w:line="280" w:lineRule="exact"/>
        <w:jc w:val="both"/>
      </w:pP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szCs w:val="24"/>
        </w:rPr>
        <w:t>本人、</w:t>
      </w: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szCs w:val="24"/>
        </w:rPr>
        <w:t>家屬、</w:t>
      </w: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szCs w:val="24"/>
        </w:rPr>
        <w:t>關係人</w:t>
      </w:r>
      <w:r>
        <w:rPr>
          <w:rFonts w:ascii="Times New Roman" w:eastAsia="標楷體" w:hAnsi="Times New Roman"/>
          <w:szCs w:val="24"/>
          <w:u w:val="single"/>
        </w:rPr>
        <w:t xml:space="preserve">         </w:t>
      </w:r>
      <w:r>
        <w:rPr>
          <w:rFonts w:ascii="Times New Roman" w:eastAsia="標楷體" w:hAnsi="Times New Roman"/>
          <w:szCs w:val="24"/>
        </w:rPr>
        <w:t>已瞭解此項疫苗之保護效果、副作用及禁忌，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Times New Roman"/>
          <w:szCs w:val="24"/>
        </w:rPr>
        <w:t>並決定：</w:t>
      </w: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kern w:val="0"/>
          <w:szCs w:val="24"/>
        </w:rPr>
        <w:t>同意接種，</w:t>
      </w: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kern w:val="0"/>
          <w:szCs w:val="24"/>
        </w:rPr>
        <w:t>不同意接種；原因：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         </w:t>
      </w:r>
      <w:r>
        <w:rPr>
          <w:rFonts w:ascii="Times New Roman" w:eastAsia="標楷體" w:hAnsi="Times New Roman"/>
          <w:kern w:val="0"/>
          <w:szCs w:val="24"/>
        </w:rPr>
        <w:t>簽名：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            </w:t>
      </w:r>
      <w:r>
        <w:rPr>
          <w:rFonts w:ascii="Times New Roman" w:eastAsia="標楷體" w:hAnsi="Times New Roman"/>
          <w:szCs w:val="24"/>
        </w:rPr>
        <w:t>；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Times New Roman"/>
          <w:szCs w:val="24"/>
        </w:rPr>
        <w:t>日期：</w:t>
      </w:r>
      <w:r>
        <w:rPr>
          <w:rFonts w:ascii="Times New Roman" w:eastAsia="標楷體" w:hAnsi="Times New Roman"/>
          <w:szCs w:val="24"/>
        </w:rPr>
        <w:t>_____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_____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_____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 xml:space="preserve"> </w:t>
      </w:r>
    </w:p>
    <w:p w:rsidR="00A0502F" w:rsidRDefault="00A91BCC">
      <w:pPr>
        <w:spacing w:line="280" w:lineRule="exact"/>
      </w:pPr>
      <w:r>
        <w:rPr>
          <w:rFonts w:ascii="Times New Roman" w:eastAsia="標楷體" w:hAnsi="Times New Roman"/>
          <w:szCs w:val="24"/>
        </w:rPr>
        <w:t>醫療院所十碼代碼：</w:t>
      </w:r>
      <w:r>
        <w:rPr>
          <w:rFonts w:ascii="Times New Roman" w:eastAsia="標楷體" w:hAnsi="Times New Roman"/>
          <w:szCs w:val="24"/>
        </w:rPr>
        <w:t xml:space="preserve">__________  </w:t>
      </w:r>
      <w:r>
        <w:rPr>
          <w:rFonts w:ascii="Times New Roman" w:eastAsia="標楷體" w:hAnsi="Times New Roman"/>
          <w:szCs w:val="24"/>
        </w:rPr>
        <w:t>醫師簽章：</w:t>
      </w:r>
      <w:r>
        <w:rPr>
          <w:rFonts w:ascii="Times New Roman" w:eastAsia="標楷體" w:hAnsi="Times New Roman"/>
          <w:szCs w:val="24"/>
        </w:rPr>
        <w:t>__________</w:t>
      </w:r>
    </w:p>
    <w:p w:rsidR="00A0502F" w:rsidRDefault="00A0502F">
      <w:pPr>
        <w:spacing w:line="560" w:lineRule="exact"/>
        <w:ind w:left="560" w:hanging="560"/>
        <w:jc w:val="both"/>
      </w:pPr>
    </w:p>
    <w:sectPr w:rsidR="00A0502F">
      <w:headerReference w:type="default" r:id="rId7"/>
      <w:footerReference w:type="default" r:id="rId8"/>
      <w:pgSz w:w="11906" w:h="16838"/>
      <w:pgMar w:top="993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BCC" w:rsidRDefault="00A91BCC">
      <w:r>
        <w:separator/>
      </w:r>
    </w:p>
  </w:endnote>
  <w:endnote w:type="continuationSeparator" w:id="0">
    <w:p w:rsidR="00A91BCC" w:rsidRDefault="00A9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ADF" w:rsidRDefault="00A91BCC">
    <w:pPr>
      <w:pStyle w:val="a8"/>
      <w:rPr>
        <w:rFonts w:ascii="Times New Roman" w:hAnsi="Times New Roman"/>
        <w:sz w:val="28"/>
        <w:szCs w:val="28"/>
      </w:rPr>
    </w:pPr>
  </w:p>
  <w:p w:rsidR="00BB5ADF" w:rsidRDefault="00A91B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BCC" w:rsidRDefault="00A91BCC">
      <w:r>
        <w:rPr>
          <w:color w:val="000000"/>
        </w:rPr>
        <w:separator/>
      </w:r>
    </w:p>
  </w:footnote>
  <w:footnote w:type="continuationSeparator" w:id="0">
    <w:p w:rsidR="00A91BCC" w:rsidRDefault="00A9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ADF" w:rsidRDefault="00FE4F32">
    <w:pPr>
      <w:pStyle w:val="a6"/>
    </w:pPr>
    <w:r>
      <w:rPr>
        <w:rFonts w:hint="eastAsia"/>
      </w:rPr>
      <w:t>附件</w:t>
    </w:r>
    <w:r>
      <w:rPr>
        <w:rFonts w:hint="eastAsia"/>
      </w:rPr>
      <w:t>10</w:t>
    </w:r>
    <w:r w:rsidR="00A91BC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4" cy="360045"/>
              <wp:effectExtent l="0" t="0" r="2536" b="1905"/>
              <wp:wrapNone/>
              <wp:docPr id="1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4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66F552A7" id="Rectangle 26" o:spid="_x0000_s1026" style="position:absolute;margin-left:0;margin-top:0;width:595.3pt;height:28.35pt;z-index:-25165721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" stroked="f">
              <v:textbox inset="0,0,0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87C11"/>
    <w:multiLevelType w:val="multilevel"/>
    <w:tmpl w:val="FB6605D4"/>
    <w:lvl w:ilvl="0">
      <w:start w:val="1"/>
      <w:numFmt w:val="taiwaneseCountingThousand"/>
      <w:lvlText w:val="%1、"/>
      <w:lvlJc w:val="left"/>
      <w:pPr>
        <w:ind w:left="1260" w:hanging="72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66713FB5"/>
    <w:multiLevelType w:val="multilevel"/>
    <w:tmpl w:val="99DE794E"/>
    <w:styleLink w:val="LFO1"/>
    <w:lvl w:ilvl="0">
      <w:start w:val="1"/>
      <w:numFmt w:val="taiwaneseCountingThousand"/>
      <w:pStyle w:val="1-1"/>
      <w:lvlText w:val="第%1章"/>
      <w:lvlJc w:val="left"/>
      <w:pPr>
        <w:ind w:left="720" w:hanging="720"/>
      </w:pPr>
      <w:rPr>
        <w:rFonts w:ascii="標楷體" w:eastAsia="標楷體" w:hAnsi="標楷體"/>
        <w:b/>
        <w:color w:val="FF0000"/>
        <w:sz w:val="36"/>
        <w:szCs w:val="36"/>
        <w:lang w:val="en-US"/>
      </w:rPr>
    </w:lvl>
    <w:lvl w:ilvl="1">
      <w:start w:val="1"/>
      <w:numFmt w:val="taiwaneseCountingThousand"/>
      <w:suff w:val="nothing"/>
      <w:lvlText w:val="第%2節"/>
      <w:lvlJc w:val="left"/>
      <w:pPr>
        <w:ind w:left="1702" w:hanging="567"/>
      </w:pPr>
      <w:rPr>
        <w:rFonts w:eastAsia="標楷體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  <w:rPr>
        <w:lang w:val="en-US"/>
      </w:r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502F"/>
    <w:rsid w:val="00943972"/>
    <w:rsid w:val="00A0502F"/>
    <w:rsid w:val="00A91BCC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518F6"/>
  <w15:docId w15:val="{409CD59E-8333-4871-9857-72B8C4BB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line="320" w:lineRule="atLeast"/>
      <w:outlineLvl w:val="0"/>
    </w:pPr>
    <w:rPr>
      <w:rFonts w:ascii="雅真標準楷書" w:eastAsia="雅真標準楷書" w:hAnsi="雅真標準楷書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character" w:customStyle="1" w:styleId="10">
    <w:name w:val="標題 1 字元"/>
    <w:basedOn w:val="a0"/>
    <w:rPr>
      <w:rFonts w:ascii="雅真標準楷書" w:eastAsia="雅真標準楷書" w:hAnsi="雅真標準楷書" w:cs="Times New Roman"/>
      <w:b/>
      <w:kern w:val="0"/>
      <w:szCs w:val="20"/>
    </w:r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ascii="Times New Roman" w:eastAsia="標楷體" w:hAnsi="Times New Roman"/>
      <w:b/>
      <w:sz w:val="28"/>
      <w:szCs w:val="20"/>
    </w:rPr>
  </w:style>
  <w:style w:type="paragraph" w:customStyle="1" w:styleId="1-1">
    <w:name w:val="1-1章節"/>
    <w:pPr>
      <w:pageBreakBefore/>
      <w:numPr>
        <w:numId w:val="1"/>
      </w:numPr>
      <w:suppressAutoHyphens/>
      <w:spacing w:after="100" w:line="5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1-1--15">
    <w:name w:val="1-1-節-縮1.5 縮排"/>
    <w:basedOn w:val="a"/>
    <w:pPr>
      <w:spacing w:line="500" w:lineRule="exact"/>
      <w:ind w:left="150" w:firstLine="200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1-1--150">
    <w:name w:val="1-1-節-縮1.5 縮排 字元 字元"/>
    <w:rPr>
      <w:rFonts w:ascii="Times New Roman" w:eastAsia="標楷體" w:hAnsi="Times New Roman" w:cs="Times New Roman"/>
      <w:sz w:val="28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TOC Heading"/>
    <w:basedOn w:val="1"/>
    <w:next w:val="a"/>
    <w:pPr>
      <w:keepLines/>
      <w:widowControl/>
      <w:spacing w:before="240" w:line="240" w:lineRule="auto"/>
      <w:textAlignment w:val="auto"/>
    </w:pPr>
    <w:rPr>
      <w:rFonts w:ascii="Calibri Light" w:eastAsia="新細明體" w:hAnsi="Calibri Light"/>
      <w:b w:val="0"/>
      <w:color w:val="2F5496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spacing w:after="100"/>
    </w:pPr>
    <w:rPr>
      <w:rFonts w:ascii="Times New Roman" w:eastAsia="標楷體" w:hAnsi="Times New Roman"/>
      <w:b/>
      <w:bCs/>
      <w:color w:val="FF0000"/>
      <w:kern w:val="0"/>
      <w:sz w:val="28"/>
      <w:szCs w:val="32"/>
    </w:rPr>
  </w:style>
  <w:style w:type="paragraph" w:styleId="3">
    <w:name w:val="toc 3"/>
    <w:basedOn w:val="a"/>
    <w:next w:val="a"/>
    <w:autoRedefine/>
    <w:pPr>
      <w:widowControl/>
      <w:spacing w:after="100"/>
      <w:ind w:left="440"/>
    </w:pPr>
    <w:rPr>
      <w:kern w:val="0"/>
      <w:sz w:val="22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page number"/>
    <w:basedOn w:val="a0"/>
  </w:style>
  <w:style w:type="character" w:customStyle="1" w:styleId="head1">
    <w:name w:val="head1"/>
    <w:rPr>
      <w:b/>
      <w:bCs/>
    </w:rPr>
  </w:style>
  <w:style w:type="paragraph" w:styleId="ae">
    <w:name w:val="Note Heading"/>
    <w:basedOn w:val="a"/>
    <w:next w:val="a"/>
    <w:pPr>
      <w:spacing w:line="360" w:lineRule="atLeast"/>
      <w:jc w:val="center"/>
    </w:pPr>
    <w:rPr>
      <w:rFonts w:ascii="Times New Roman" w:eastAsia="標楷體" w:hAnsi="Times New Roman"/>
      <w:b/>
      <w:bCs/>
      <w:color w:val="000000"/>
      <w:sz w:val="32"/>
      <w:szCs w:val="32"/>
    </w:rPr>
  </w:style>
  <w:style w:type="character" w:customStyle="1" w:styleId="af">
    <w:name w:val="註釋標題 字元"/>
    <w:basedOn w:val="a0"/>
    <w:rPr>
      <w:rFonts w:ascii="Times New Roman" w:eastAsia="標楷體" w:hAnsi="Times New Roman" w:cs="Times New Roman"/>
      <w:b/>
      <w:bCs/>
      <w:color w:val="000000"/>
      <w:kern w:val="3"/>
      <w:sz w:val="32"/>
      <w:szCs w:val="3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f0">
    <w:name w:val="Body Text"/>
    <w:basedOn w:val="a"/>
    <w:pPr>
      <w:autoSpaceDE w:val="0"/>
      <w:jc w:val="both"/>
      <w:textAlignment w:val="center"/>
    </w:pPr>
    <w:rPr>
      <w:rFonts w:ascii="Times New Roman" w:eastAsia="標楷體" w:hAnsi="Times New Roman"/>
      <w:b/>
      <w:sz w:val="40"/>
      <w:szCs w:val="20"/>
    </w:rPr>
  </w:style>
  <w:style w:type="character" w:customStyle="1" w:styleId="af1">
    <w:name w:val="本文 字元"/>
    <w:basedOn w:val="a0"/>
    <w:rPr>
      <w:rFonts w:ascii="Times New Roman" w:eastAsia="標楷體" w:hAnsi="Times New Roman" w:cs="Times New Roman"/>
      <w:b/>
      <w:sz w:val="40"/>
      <w:szCs w:val="20"/>
    </w:rPr>
  </w:style>
  <w:style w:type="paragraph" w:customStyle="1" w:styleId="2-2-25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customStyle="1" w:styleId="21">
    <w:name w:val="本文縮排 2 字元"/>
    <w:basedOn w:val="a0"/>
  </w:style>
  <w:style w:type="character" w:styleId="af2">
    <w:name w:val="Hyperlink"/>
    <w:basedOn w:val="a0"/>
    <w:rPr>
      <w:color w:val="0563C1"/>
      <w:u w:val="single"/>
    </w:rPr>
  </w:style>
  <w:style w:type="character" w:styleId="af3">
    <w:name w:val="Unresolved Mention"/>
    <w:basedOn w:val="a0"/>
    <w:rPr>
      <w:color w:val="605E5C"/>
      <w:shd w:val="clear" w:color="auto" w:fill="E1DFDD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dc:description/>
  <cp:lastModifiedBy>莊梅鈺</cp:lastModifiedBy>
  <cp:revision>2</cp:revision>
  <cp:lastPrinted>2024-07-01T03:17:00Z</cp:lastPrinted>
  <dcterms:created xsi:type="dcterms:W3CDTF">2024-08-06T09:57:00Z</dcterms:created>
  <dcterms:modified xsi:type="dcterms:W3CDTF">2024-08-06T09:57:00Z</dcterms:modified>
</cp:coreProperties>
</file>