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D156B" w14:textId="77777777" w:rsidR="008F114D" w:rsidRDefault="008F114D">
      <w:pPr>
        <w:widowControl/>
      </w:pPr>
      <w:bookmarkStart w:id="0" w:name="_GoBack"/>
      <w:bookmarkEnd w:id="0"/>
    </w:p>
    <w:p w14:paraId="2B0B8FED" w14:textId="77777777" w:rsidR="008F114D" w:rsidRDefault="001B3E0F">
      <w:pPr>
        <w:pStyle w:val="Web"/>
        <w:spacing w:before="0" w:after="180" w:line="400" w:lineRule="exact"/>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14:anchorId="184DB278" wp14:editId="77C45F36">
                <wp:simplePos x="0" y="0"/>
                <wp:positionH relativeFrom="margin">
                  <wp:align>right</wp:align>
                </wp:positionH>
                <wp:positionV relativeFrom="page">
                  <wp:posOffset>1076321</wp:posOffset>
                </wp:positionV>
                <wp:extent cx="1261113" cy="321311"/>
                <wp:effectExtent l="0" t="0" r="0" b="2539"/>
                <wp:wrapNone/>
                <wp:docPr id="2" name="文字方塊 4"/>
                <wp:cNvGraphicFramePr/>
                <a:graphic xmlns:a="http://schemas.openxmlformats.org/drawingml/2006/main">
                  <a:graphicData uri="http://schemas.microsoft.com/office/word/2010/wordprocessingShape">
                    <wps:wsp>
                      <wps:cNvSpPr txBox="1"/>
                      <wps:spPr>
                        <a:xfrm>
                          <a:off x="0" y="0"/>
                          <a:ext cx="1261113" cy="321311"/>
                        </a:xfrm>
                        <a:prstGeom prst="rect">
                          <a:avLst/>
                        </a:prstGeom>
                        <a:noFill/>
                        <a:ln>
                          <a:noFill/>
                          <a:prstDash/>
                        </a:ln>
                      </wps:spPr>
                      <wps:txbx>
                        <w:txbxContent>
                          <w:p w14:paraId="41B0BEB2" w14:textId="77777777" w:rsidR="008F114D" w:rsidRDefault="001B3E0F">
                            <w:pPr>
                              <w:jc w:val="center"/>
                            </w:pPr>
                            <w:r>
                              <w:rPr>
                                <w:rFonts w:ascii="Times New Roman" w:eastAsia="標楷體" w:hAnsi="Times New Roman"/>
                                <w:sz w:val="22"/>
                                <w:szCs w:val="32"/>
                              </w:rPr>
                              <w:t>113</w:t>
                            </w:r>
                            <w:r>
                              <w:rPr>
                                <w:rFonts w:ascii="Times New Roman" w:eastAsia="標楷體" w:hAnsi="Times New Roman"/>
                                <w:sz w:val="22"/>
                                <w:szCs w:val="32"/>
                              </w:rPr>
                              <w:t>年</w:t>
                            </w:r>
                            <w:r>
                              <w:rPr>
                                <w:rFonts w:ascii="Times New Roman" w:eastAsia="標楷體" w:hAnsi="Times New Roman"/>
                                <w:color w:val="FF0000"/>
                                <w:sz w:val="22"/>
                                <w:szCs w:val="32"/>
                              </w:rPr>
                              <w:t>6</w:t>
                            </w:r>
                            <w:r>
                              <w:rPr>
                                <w:rFonts w:ascii="Times New Roman" w:eastAsia="標楷體" w:hAnsi="Times New Roman"/>
                                <w:sz w:val="22"/>
                                <w:szCs w:val="32"/>
                              </w:rPr>
                              <w:t>月修訂版</w:t>
                            </w:r>
                          </w:p>
                        </w:txbxContent>
                      </wps:txbx>
                      <wps:bodyPr vert="horz" wrap="square" lIns="91440" tIns="45720" rIns="91440" bIns="45720" anchor="t" anchorCtr="0" compatLnSpc="0">
                        <a:noAutofit/>
                      </wps:bodyPr>
                    </wps:wsp>
                  </a:graphicData>
                </a:graphic>
              </wp:anchor>
            </w:drawing>
          </mc:Choice>
          <mc:Fallback>
            <w:pict>
              <v:shapetype w14:anchorId="184DB278" id="_x0000_t202" coordsize="21600,21600" o:spt="202" path="m,l,21600r21600,l21600,xe">
                <v:stroke joinstyle="miter"/>
                <v:path gradientshapeok="t" o:connecttype="rect"/>
              </v:shapetype>
              <v:shape id="文字方塊 4" o:spid="_x0000_s1026" type="#_x0000_t202" style="position:absolute;left:0;text-align:left;margin-left:48.1pt;margin-top:84.75pt;width:99.3pt;height:25.3pt;z-index:251659264;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" filled="f" stroked="f">
                <v:textbox>
                  <w:txbxContent>
                    <w:p w14:paraId="41B0BEB2" w14:textId="77777777" w:rsidR="008F114D" w:rsidRDefault="001B3E0F">
                      <w:pPr>
                        <w:jc w:val="center"/>
                      </w:pPr>
                      <w:r>
                        <w:rPr>
                          <w:rFonts w:ascii="Times New Roman" w:eastAsia="標楷體" w:hAnsi="Times New Roman"/>
                          <w:sz w:val="22"/>
                          <w:szCs w:val="32"/>
                        </w:rPr>
                        <w:t>113</w:t>
                      </w:r>
                      <w:r>
                        <w:rPr>
                          <w:rFonts w:ascii="Times New Roman" w:eastAsia="標楷體" w:hAnsi="Times New Roman"/>
                          <w:sz w:val="22"/>
                          <w:szCs w:val="32"/>
                        </w:rPr>
                        <w:t>年</w:t>
                      </w:r>
                      <w:r>
                        <w:rPr>
                          <w:rFonts w:ascii="Times New Roman" w:eastAsia="標楷體" w:hAnsi="Times New Roman"/>
                          <w:color w:val="FF0000"/>
                          <w:sz w:val="22"/>
                          <w:szCs w:val="32"/>
                        </w:rPr>
                        <w:t>6</w:t>
                      </w:r>
                      <w:r>
                        <w:rPr>
                          <w:rFonts w:ascii="Times New Roman" w:eastAsia="標楷體" w:hAnsi="Times New Roman"/>
                          <w:sz w:val="22"/>
                          <w:szCs w:val="32"/>
                        </w:rPr>
                        <w:t>月修訂版</w:t>
                      </w:r>
                    </w:p>
                  </w:txbxContent>
                </v:textbox>
                <w10:wrap anchorx="margin" anchory="page"/>
              </v:shape>
            </w:pict>
          </mc:Fallback>
        </mc:AlternateContent>
      </w:r>
      <w:r>
        <w:rPr>
          <w:rFonts w:ascii="Times New Roman" w:eastAsia="標楷體" w:hAnsi="Times New Roman"/>
          <w:b/>
          <w:color w:val="auto"/>
          <w:sz w:val="36"/>
          <w:szCs w:val="32"/>
        </w:rPr>
        <w:t>流感疫苗接種須知</w:t>
      </w:r>
    </w:p>
    <w:p w14:paraId="759D39B5" w14:textId="77777777" w:rsidR="008F114D" w:rsidRDefault="001B3E0F">
      <w:pPr>
        <w:pStyle w:val="Web"/>
        <w:spacing w:before="0" w:after="0" w:line="340" w:lineRule="exact"/>
        <w:jc w:val="both"/>
        <w:outlineLvl w:val="0"/>
        <w:rPr>
          <w:rFonts w:ascii="Times New Roman" w:eastAsia="標楷體" w:hAnsi="Times New Roman"/>
          <w:b/>
          <w:color w:val="auto"/>
          <w:sz w:val="28"/>
          <w:shd w:val="clear" w:color="auto" w:fill="FFFFFF"/>
        </w:rPr>
      </w:pPr>
      <w:bookmarkStart w:id="1" w:name="_Toc524957834"/>
      <w:r>
        <w:rPr>
          <w:rFonts w:ascii="Times New Roman" w:eastAsia="標楷體" w:hAnsi="Times New Roman"/>
          <w:b/>
          <w:color w:val="auto"/>
          <w:sz w:val="28"/>
          <w:shd w:val="clear" w:color="auto" w:fill="FFFFFF"/>
        </w:rPr>
        <w:t>疫苗成分及特性</w:t>
      </w:r>
      <w:bookmarkEnd w:id="1"/>
    </w:p>
    <w:p w14:paraId="2BBBC0F4" w14:textId="77777777" w:rsidR="008F114D" w:rsidRDefault="001B3E0F">
      <w:pPr>
        <w:pStyle w:val="1-1--15"/>
        <w:spacing w:before="90" w:line="340" w:lineRule="exact"/>
        <w:ind w:left="360" w:firstLine="560"/>
      </w:pPr>
      <w:r>
        <w:rPr>
          <w:szCs w:val="28"/>
        </w:rPr>
        <w:t>流感疫苗是</w:t>
      </w:r>
      <w:proofErr w:type="gramStart"/>
      <w:r>
        <w:rPr>
          <w:szCs w:val="28"/>
        </w:rPr>
        <w:t>不</w:t>
      </w:r>
      <w:proofErr w:type="gramEnd"/>
      <w:r>
        <w:rPr>
          <w:szCs w:val="28"/>
        </w:rPr>
        <w:t>活化疫苗。由於流感病毒常常發生變異，所以世界衛生組織</w:t>
      </w:r>
      <w:proofErr w:type="gramStart"/>
      <w:r>
        <w:rPr>
          <w:szCs w:val="28"/>
        </w:rPr>
        <w:t>每年均會監測</w:t>
      </w:r>
      <w:proofErr w:type="gramEnd"/>
      <w:r>
        <w:rPr>
          <w:szCs w:val="28"/>
        </w:rPr>
        <w:t>流感病毒的流行及變異，以建議疫苗的成份。</w:t>
      </w:r>
      <w:r>
        <w:t>本計畫使用依據世界衛生組織每年對北半球建議價數（三價</w:t>
      </w:r>
      <w:r>
        <w:t>/</w:t>
      </w:r>
      <w:r>
        <w:t>四價）及抗原成分之流感疫苗，其保護效力與國際各國狀況相同。三</w:t>
      </w:r>
      <w:proofErr w:type="gramStart"/>
      <w:r>
        <w:t>價流感</w:t>
      </w:r>
      <w:proofErr w:type="gramEnd"/>
      <w:r>
        <w:t>疫苗包含</w:t>
      </w:r>
      <w:r>
        <w:t>3</w:t>
      </w:r>
      <w:r>
        <w:t>種不活化病毒株，即</w:t>
      </w:r>
      <w:r>
        <w:t>2</w:t>
      </w:r>
      <w:r>
        <w:t>種</w:t>
      </w:r>
      <w:r>
        <w:t>A</w:t>
      </w:r>
      <w:r>
        <w:t>型（</w:t>
      </w:r>
      <w:r>
        <w:t>H1N1</w:t>
      </w:r>
      <w:r>
        <w:t>及</w:t>
      </w:r>
      <w:r>
        <w:t>H3N2</w:t>
      </w:r>
      <w:r>
        <w:t>）及</w:t>
      </w:r>
      <w:r>
        <w:t>1</w:t>
      </w:r>
      <w:r>
        <w:t>種</w:t>
      </w:r>
      <w:r>
        <w:t>B</w:t>
      </w:r>
      <w:r>
        <w:t>型（</w:t>
      </w:r>
      <w:r>
        <w:t>Victoria</w:t>
      </w:r>
      <w:r>
        <w:t>），四</w:t>
      </w:r>
      <w:proofErr w:type="gramStart"/>
      <w:r>
        <w:t>價流</w:t>
      </w:r>
      <w:proofErr w:type="gramEnd"/>
      <w:r>
        <w:t>感疫苗另新增</w:t>
      </w:r>
      <w:r>
        <w:t>1</w:t>
      </w:r>
      <w:r>
        <w:t>種</w:t>
      </w:r>
      <w:r>
        <w:t>B</w:t>
      </w:r>
      <w:r>
        <w:t>型不活化病毒株（</w:t>
      </w:r>
      <w:r>
        <w:t>Yamagata</w:t>
      </w:r>
      <w:r>
        <w:t>）</w:t>
      </w:r>
      <w:r>
        <w:rPr>
          <w:bCs/>
          <w:szCs w:val="28"/>
        </w:rPr>
        <w:t>，並依照疫苗到貨順序依序提供。</w:t>
      </w:r>
    </w:p>
    <w:p w14:paraId="5CE60F34" w14:textId="77777777" w:rsidR="008F114D" w:rsidRDefault="001B3E0F">
      <w:pPr>
        <w:pStyle w:val="Web"/>
        <w:widowControl w:val="0"/>
        <w:spacing w:before="0" w:after="0" w:line="340" w:lineRule="exact"/>
        <w:jc w:val="both"/>
        <w:textAlignment w:val="baseline"/>
        <w:outlineLvl w:val="0"/>
      </w:pPr>
      <w:bookmarkStart w:id="2" w:name="_Toc524957835"/>
      <w:r>
        <w:rPr>
          <w:rFonts w:ascii="Times New Roman" w:eastAsia="標楷體" w:hAnsi="Times New Roman"/>
          <w:b/>
          <w:color w:val="auto"/>
          <w:sz w:val="28"/>
          <w:shd w:val="clear" w:color="auto" w:fill="FFFFFF"/>
        </w:rPr>
        <w:t>接種劑量及間隔</w:t>
      </w:r>
      <w:bookmarkEnd w:id="2"/>
    </w:p>
    <w:p w14:paraId="00E2316F" w14:textId="77777777" w:rsidR="008F114D" w:rsidRDefault="001B3E0F">
      <w:pPr>
        <w:pStyle w:val="1-1--15"/>
        <w:spacing w:before="90" w:line="340" w:lineRule="exact"/>
        <w:ind w:left="360" w:firstLine="560"/>
        <w:rPr>
          <w:szCs w:val="28"/>
        </w:rPr>
      </w:pPr>
      <w:r>
        <w:rPr>
          <w:szCs w:val="28"/>
        </w:rPr>
        <w:t>6</w:t>
      </w:r>
      <w:r>
        <w:rPr>
          <w:szCs w:val="28"/>
        </w:rPr>
        <w:t>個月以上每次接種劑量是</w:t>
      </w:r>
      <w:r>
        <w:rPr>
          <w:szCs w:val="28"/>
        </w:rPr>
        <w:t xml:space="preserve">0.5 </w:t>
      </w:r>
      <w:r>
        <w:rPr>
          <w:szCs w:val="28"/>
        </w:rPr>
        <w:t>mL</w:t>
      </w:r>
      <w:r>
        <w:rPr>
          <w:szCs w:val="28"/>
        </w:rPr>
        <w:t>（詳見仿單「產品說明書」）。另外，未滿</w:t>
      </w:r>
      <w:r>
        <w:rPr>
          <w:szCs w:val="28"/>
        </w:rPr>
        <w:t>9</w:t>
      </w:r>
      <w:r>
        <w:rPr>
          <w:szCs w:val="28"/>
        </w:rPr>
        <w:t>歲兒童，若是初次接種，應接種</w:t>
      </w:r>
      <w:r>
        <w:rPr>
          <w:szCs w:val="28"/>
        </w:rPr>
        <w:t>2</w:t>
      </w:r>
      <w:r>
        <w:rPr>
          <w:szCs w:val="28"/>
        </w:rPr>
        <w:t>劑，兩劑間隔</w:t>
      </w:r>
      <w:r>
        <w:rPr>
          <w:szCs w:val="28"/>
        </w:rPr>
        <w:t>4</w:t>
      </w:r>
      <w:proofErr w:type="gramStart"/>
      <w:r>
        <w:rPr>
          <w:szCs w:val="28"/>
        </w:rPr>
        <w:t>週</w:t>
      </w:r>
      <w:proofErr w:type="gramEnd"/>
      <w:r>
        <w:rPr>
          <w:szCs w:val="28"/>
        </w:rPr>
        <w:t>以上；若過去曾</w:t>
      </w:r>
      <w:proofErr w:type="gramStart"/>
      <w:r>
        <w:rPr>
          <w:szCs w:val="28"/>
        </w:rPr>
        <w:t>接種過流感</w:t>
      </w:r>
      <w:proofErr w:type="gramEnd"/>
      <w:r>
        <w:rPr>
          <w:szCs w:val="28"/>
        </w:rPr>
        <w:t>疫苗（不論</w:t>
      </w:r>
      <w:r>
        <w:rPr>
          <w:szCs w:val="28"/>
        </w:rPr>
        <w:t>1</w:t>
      </w:r>
      <w:r>
        <w:rPr>
          <w:szCs w:val="28"/>
        </w:rPr>
        <w:t>劑或</w:t>
      </w:r>
      <w:r>
        <w:rPr>
          <w:szCs w:val="28"/>
        </w:rPr>
        <w:t>2</w:t>
      </w:r>
      <w:r>
        <w:rPr>
          <w:szCs w:val="28"/>
        </w:rPr>
        <w:t>劑），今年接種</w:t>
      </w:r>
      <w:r>
        <w:rPr>
          <w:szCs w:val="28"/>
        </w:rPr>
        <w:t>1</w:t>
      </w:r>
      <w:r>
        <w:rPr>
          <w:szCs w:val="28"/>
        </w:rPr>
        <w:t>劑即可。</w:t>
      </w:r>
      <w:r>
        <w:rPr>
          <w:szCs w:val="28"/>
        </w:rPr>
        <w:t>9</w:t>
      </w:r>
      <w:r>
        <w:rPr>
          <w:szCs w:val="28"/>
        </w:rPr>
        <w:t>歲以上則不論過去接種史，都只須接種</w:t>
      </w:r>
      <w:r>
        <w:rPr>
          <w:szCs w:val="28"/>
        </w:rPr>
        <w:t>1</w:t>
      </w:r>
      <w:r>
        <w:rPr>
          <w:szCs w:val="28"/>
        </w:rPr>
        <w:t>劑。流感疫苗可以和其他疫苗同時接種在身體不同部位或間隔任何時間接種。</w:t>
      </w:r>
    </w:p>
    <w:p w14:paraId="008F2640" w14:textId="77777777" w:rsidR="008F114D" w:rsidRDefault="001B3E0F">
      <w:pPr>
        <w:pStyle w:val="Web"/>
        <w:widowControl w:val="0"/>
        <w:spacing w:before="0" w:after="0" w:line="340" w:lineRule="exact"/>
        <w:jc w:val="both"/>
        <w:textAlignment w:val="baseline"/>
        <w:outlineLvl w:val="0"/>
      </w:pPr>
      <w:bookmarkStart w:id="3" w:name="_Toc524957836"/>
      <w:r>
        <w:rPr>
          <w:rFonts w:ascii="Times New Roman" w:eastAsia="標楷體" w:hAnsi="Times New Roman"/>
          <w:b/>
          <w:color w:val="auto"/>
          <w:sz w:val="28"/>
          <w:shd w:val="clear" w:color="auto" w:fill="FFFFFF"/>
        </w:rPr>
        <w:t>保護效果</w:t>
      </w:r>
      <w:bookmarkEnd w:id="3"/>
    </w:p>
    <w:p w14:paraId="0EBB1E33" w14:textId="77777777" w:rsidR="008F114D" w:rsidRDefault="001B3E0F">
      <w:pPr>
        <w:pStyle w:val="1-1--15"/>
        <w:spacing w:before="90" w:line="340" w:lineRule="exact"/>
        <w:ind w:left="360" w:firstLine="560"/>
        <w:rPr>
          <w:szCs w:val="28"/>
        </w:rPr>
      </w:pPr>
      <w:r>
        <w:rPr>
          <w:szCs w:val="28"/>
        </w:rPr>
        <w:t>疫苗的保護效果需視當年使用的疫苗株是否與實際流行的</w:t>
      </w:r>
      <w:proofErr w:type="gramStart"/>
      <w:r>
        <w:rPr>
          <w:szCs w:val="28"/>
        </w:rPr>
        <w:t>病毒株型別</w:t>
      </w:r>
      <w:proofErr w:type="gramEnd"/>
      <w:r>
        <w:rPr>
          <w:szCs w:val="28"/>
        </w:rPr>
        <w:t>相符，以及接種對象的年齡或身體狀況而異，平均約為</w:t>
      </w:r>
      <w:r>
        <w:rPr>
          <w:szCs w:val="28"/>
        </w:rPr>
        <w:t>30~80%</w:t>
      </w:r>
      <w:r>
        <w:rPr>
          <w:szCs w:val="28"/>
        </w:rPr>
        <w:t>。對</w:t>
      </w:r>
      <w:r>
        <w:rPr>
          <w:szCs w:val="28"/>
        </w:rPr>
        <w:t>18</w:t>
      </w:r>
      <w:r>
        <w:rPr>
          <w:szCs w:val="28"/>
        </w:rPr>
        <w:t>歲以上成人</w:t>
      </w:r>
      <w:proofErr w:type="gramStart"/>
      <w:r>
        <w:rPr>
          <w:szCs w:val="28"/>
        </w:rPr>
        <w:t>因確診流</w:t>
      </w:r>
      <w:proofErr w:type="gramEnd"/>
      <w:r>
        <w:rPr>
          <w:szCs w:val="28"/>
        </w:rPr>
        <w:t>感而住院的保護力約有</w:t>
      </w:r>
      <w:r>
        <w:rPr>
          <w:szCs w:val="28"/>
        </w:rPr>
        <w:t>41%</w:t>
      </w:r>
      <w:r>
        <w:rPr>
          <w:szCs w:val="28"/>
        </w:rPr>
        <w:t>，入住加護病房的</w:t>
      </w:r>
      <w:proofErr w:type="gramStart"/>
      <w:r>
        <w:rPr>
          <w:szCs w:val="28"/>
        </w:rPr>
        <w:t>流感重</w:t>
      </w:r>
      <w:proofErr w:type="gramEnd"/>
      <w:r>
        <w:rPr>
          <w:szCs w:val="28"/>
        </w:rPr>
        <w:t>症保護力則可達</w:t>
      </w:r>
      <w:r>
        <w:rPr>
          <w:szCs w:val="28"/>
        </w:rPr>
        <w:t>82%</w:t>
      </w:r>
      <w:r>
        <w:rPr>
          <w:szCs w:val="28"/>
        </w:rPr>
        <w:t>。</w:t>
      </w:r>
      <w:r>
        <w:rPr>
          <w:szCs w:val="28"/>
        </w:rPr>
        <w:t>6</w:t>
      </w:r>
      <w:r>
        <w:rPr>
          <w:szCs w:val="28"/>
        </w:rPr>
        <w:t>個月至未滿</w:t>
      </w:r>
      <w:r>
        <w:rPr>
          <w:szCs w:val="28"/>
        </w:rPr>
        <w:t>18</w:t>
      </w:r>
      <w:r>
        <w:rPr>
          <w:szCs w:val="28"/>
        </w:rPr>
        <w:t>歲兒童青少年族群接種流感疫苗之保護力與成人相仿。</w:t>
      </w:r>
    </w:p>
    <w:p w14:paraId="3B824B4D" w14:textId="77777777" w:rsidR="008F114D" w:rsidRDefault="001B3E0F">
      <w:pPr>
        <w:pStyle w:val="Web"/>
        <w:widowControl w:val="0"/>
        <w:spacing w:before="0" w:after="0" w:line="340" w:lineRule="exact"/>
        <w:jc w:val="both"/>
        <w:textAlignment w:val="baseline"/>
        <w:outlineLvl w:val="0"/>
      </w:pPr>
      <w:bookmarkStart w:id="4" w:name="_Toc524957837"/>
      <w:r>
        <w:rPr>
          <w:rFonts w:ascii="Times New Roman" w:eastAsia="標楷體" w:hAnsi="Times New Roman"/>
          <w:b/>
          <w:color w:val="auto"/>
          <w:sz w:val="28"/>
          <w:shd w:val="clear" w:color="auto" w:fill="FFFFFF"/>
        </w:rPr>
        <w:t>計畫實施對象</w:t>
      </w:r>
      <w:bookmarkEnd w:id="4"/>
    </w:p>
    <w:p w14:paraId="108FA014" w14:textId="77777777" w:rsidR="008F114D" w:rsidRDefault="001B3E0F">
      <w:pPr>
        <w:pStyle w:val="Web"/>
        <w:numPr>
          <w:ilvl w:val="0"/>
          <w:numId w:val="1"/>
        </w:numPr>
        <w:tabs>
          <w:tab w:val="left" w:pos="900"/>
        </w:tabs>
        <w:spacing w:before="0" w:after="0" w:line="340" w:lineRule="exact"/>
        <w:ind w:left="900" w:hanging="360"/>
        <w:jc w:val="both"/>
        <w:rPr>
          <w:rFonts w:ascii="Times New Roman" w:eastAsia="標楷體" w:hAnsi="Times New Roman"/>
          <w:color w:val="auto"/>
          <w:sz w:val="28"/>
        </w:rPr>
      </w:pPr>
      <w:r>
        <w:rPr>
          <w:rFonts w:ascii="Times New Roman" w:eastAsia="標楷體" w:hAnsi="Times New Roman"/>
          <w:color w:val="auto"/>
          <w:sz w:val="28"/>
        </w:rPr>
        <w:t>易受感染且出現嚴重併發症的高危險群，包括</w:t>
      </w:r>
      <w:r>
        <w:rPr>
          <w:rFonts w:ascii="Times New Roman" w:eastAsia="標楷體" w:hAnsi="Times New Roman"/>
          <w:color w:val="auto"/>
          <w:sz w:val="28"/>
        </w:rPr>
        <w:t>50</w:t>
      </w:r>
      <w:r>
        <w:rPr>
          <w:rFonts w:ascii="Times New Roman" w:eastAsia="標楷體" w:hAnsi="Times New Roman"/>
          <w:color w:val="auto"/>
          <w:sz w:val="28"/>
        </w:rPr>
        <w:t>歲以上成人、安養</w:t>
      </w:r>
      <w:r>
        <w:rPr>
          <w:rFonts w:ascii="Times New Roman" w:eastAsia="標楷體" w:hAnsi="Times New Roman"/>
          <w:color w:val="auto"/>
          <w:sz w:val="28"/>
        </w:rPr>
        <w:t>/</w:t>
      </w:r>
      <w:r>
        <w:rPr>
          <w:rFonts w:ascii="Times New Roman" w:eastAsia="標楷體" w:hAnsi="Times New Roman"/>
          <w:color w:val="auto"/>
          <w:sz w:val="28"/>
        </w:rPr>
        <w:t>養護</w:t>
      </w:r>
      <w:r>
        <w:rPr>
          <w:rFonts w:ascii="Times New Roman" w:eastAsia="標楷體" w:hAnsi="Times New Roman"/>
          <w:color w:val="auto"/>
          <w:sz w:val="28"/>
        </w:rPr>
        <w:t>/</w:t>
      </w:r>
      <w:r>
        <w:rPr>
          <w:rFonts w:ascii="Times New Roman" w:eastAsia="標楷體" w:hAnsi="Times New Roman"/>
          <w:color w:val="auto"/>
          <w:sz w:val="28"/>
        </w:rPr>
        <w:t>長期照顧等機構的受照顧者、罕見疾病患者、滿</w:t>
      </w:r>
      <w:r>
        <w:rPr>
          <w:rFonts w:ascii="Times New Roman" w:eastAsia="標楷體" w:hAnsi="Times New Roman"/>
          <w:color w:val="auto"/>
          <w:sz w:val="28"/>
        </w:rPr>
        <w:t>6</w:t>
      </w:r>
      <w:r>
        <w:rPr>
          <w:rFonts w:ascii="Times New Roman" w:eastAsia="標楷體" w:hAnsi="Times New Roman"/>
          <w:color w:val="auto"/>
          <w:sz w:val="28"/>
        </w:rPr>
        <w:t>個月以上至國小入學前幼兒、重大傷病患者、高風險慢性病人、孕婦及產後</w:t>
      </w:r>
      <w:r>
        <w:rPr>
          <w:rFonts w:ascii="Times New Roman" w:eastAsia="標楷體" w:hAnsi="Times New Roman"/>
          <w:color w:val="auto"/>
          <w:sz w:val="28"/>
        </w:rPr>
        <w:t>2</w:t>
      </w:r>
      <w:proofErr w:type="gramStart"/>
      <w:r>
        <w:rPr>
          <w:rFonts w:ascii="Times New Roman" w:eastAsia="標楷體" w:hAnsi="Times New Roman"/>
          <w:color w:val="auto"/>
          <w:sz w:val="28"/>
        </w:rPr>
        <w:t>週</w:t>
      </w:r>
      <w:proofErr w:type="gramEnd"/>
      <w:r>
        <w:rPr>
          <w:rFonts w:ascii="Times New Roman" w:eastAsia="標楷體" w:hAnsi="Times New Roman"/>
          <w:color w:val="auto"/>
          <w:sz w:val="28"/>
        </w:rPr>
        <w:t>內婦女。</w:t>
      </w:r>
    </w:p>
    <w:p w14:paraId="70FCEBFD" w14:textId="77777777" w:rsidR="008F114D" w:rsidRDefault="001B3E0F">
      <w:pPr>
        <w:pStyle w:val="Web"/>
        <w:numPr>
          <w:ilvl w:val="0"/>
          <w:numId w:val="1"/>
        </w:numPr>
        <w:spacing w:before="0" w:after="0" w:line="340" w:lineRule="exact"/>
        <w:ind w:left="851" w:hanging="338"/>
        <w:jc w:val="both"/>
        <w:rPr>
          <w:rFonts w:ascii="Times New Roman" w:eastAsia="標楷體" w:hAnsi="Times New Roman"/>
          <w:color w:val="auto"/>
          <w:sz w:val="28"/>
        </w:rPr>
      </w:pPr>
      <w:r>
        <w:rPr>
          <w:rFonts w:ascii="Times New Roman" w:eastAsia="標楷體" w:hAnsi="Times New Roman"/>
          <w:color w:val="auto"/>
          <w:sz w:val="28"/>
        </w:rPr>
        <w:t>易暴露及傳染</w:t>
      </w:r>
      <w:proofErr w:type="gramStart"/>
      <w:r>
        <w:rPr>
          <w:rFonts w:ascii="Times New Roman" w:eastAsia="標楷體" w:hAnsi="Times New Roman"/>
          <w:color w:val="auto"/>
          <w:sz w:val="28"/>
        </w:rPr>
        <w:t>流感給高</w:t>
      </w:r>
      <w:proofErr w:type="gramEnd"/>
      <w:r>
        <w:rPr>
          <w:rFonts w:ascii="Times New Roman" w:eastAsia="標楷體" w:hAnsi="Times New Roman"/>
          <w:color w:val="auto"/>
          <w:sz w:val="28"/>
        </w:rPr>
        <w:t>危險</w:t>
      </w:r>
      <w:r>
        <w:rPr>
          <w:rFonts w:ascii="Times New Roman" w:eastAsia="標楷體" w:hAnsi="Times New Roman"/>
          <w:color w:val="auto"/>
          <w:sz w:val="28"/>
        </w:rPr>
        <w:t>群者，包括</w:t>
      </w:r>
      <w:r>
        <w:rPr>
          <w:rFonts w:ascii="Times New Roman" w:eastAsia="標楷體" w:hAnsi="Times New Roman"/>
          <w:color w:val="auto"/>
          <w:sz w:val="28"/>
        </w:rPr>
        <w:t>6</w:t>
      </w:r>
      <w:r>
        <w:rPr>
          <w:rFonts w:ascii="Times New Roman" w:eastAsia="標楷體" w:hAnsi="Times New Roman"/>
          <w:color w:val="auto"/>
          <w:sz w:val="28"/>
        </w:rPr>
        <w:t>個月內嬰兒之父母、醫事工作人員、安養</w:t>
      </w:r>
      <w:r>
        <w:rPr>
          <w:rFonts w:ascii="Times New Roman" w:eastAsia="標楷體" w:hAnsi="Times New Roman"/>
          <w:color w:val="auto"/>
          <w:sz w:val="28"/>
        </w:rPr>
        <w:t>/</w:t>
      </w:r>
      <w:r>
        <w:rPr>
          <w:rFonts w:ascii="Times New Roman" w:eastAsia="標楷體" w:hAnsi="Times New Roman"/>
          <w:color w:val="auto"/>
          <w:sz w:val="28"/>
        </w:rPr>
        <w:t>長期照顧等機構所屬的工作人員、衛生等單位的防疫人員、國小到高中</w:t>
      </w:r>
      <w:r>
        <w:rPr>
          <w:rFonts w:ascii="Times New Roman" w:eastAsia="標楷體" w:hAnsi="Times New Roman"/>
          <w:color w:val="auto"/>
          <w:sz w:val="28"/>
        </w:rPr>
        <w:t>/</w:t>
      </w:r>
      <w:r>
        <w:rPr>
          <w:rFonts w:ascii="Times New Roman" w:eastAsia="標楷體" w:hAnsi="Times New Roman"/>
          <w:color w:val="auto"/>
          <w:sz w:val="28"/>
        </w:rPr>
        <w:t>職學生（含進修部與境外臺校學生、少年矯正學校及輔育院學生、屬「中途學校</w:t>
      </w:r>
      <w:r>
        <w:rPr>
          <w:rFonts w:ascii="Times New Roman" w:eastAsia="標楷體" w:hAnsi="Times New Roman"/>
          <w:color w:val="auto"/>
          <w:sz w:val="28"/>
        </w:rPr>
        <w:t>-</w:t>
      </w:r>
      <w:r>
        <w:rPr>
          <w:rFonts w:ascii="Times New Roman" w:eastAsia="標楷體" w:hAnsi="Times New Roman"/>
          <w:color w:val="auto"/>
          <w:sz w:val="28"/>
        </w:rPr>
        <w:t>在園教育」性質之兒童及少年安置教養機構學生，以及自學學生）及幼兒園托育人員及托育機構專業人員。</w:t>
      </w:r>
    </w:p>
    <w:p w14:paraId="31F6491D" w14:textId="77777777" w:rsidR="008F114D" w:rsidRDefault="001B3E0F">
      <w:pPr>
        <w:pStyle w:val="Web"/>
        <w:numPr>
          <w:ilvl w:val="0"/>
          <w:numId w:val="1"/>
        </w:numPr>
        <w:tabs>
          <w:tab w:val="left" w:pos="900"/>
        </w:tabs>
        <w:spacing w:before="0" w:after="0" w:line="340" w:lineRule="exact"/>
        <w:ind w:left="900" w:hanging="360"/>
        <w:jc w:val="both"/>
      </w:pPr>
      <w:r>
        <w:rPr>
          <w:rFonts w:ascii="Times New Roman" w:eastAsia="標楷體" w:hAnsi="Times New Roman"/>
          <w:color w:val="auto"/>
          <w:sz w:val="28"/>
        </w:rPr>
        <w:t>雞、鴨、鵝、豬、</w:t>
      </w:r>
      <w:r>
        <w:rPr>
          <w:rFonts w:ascii="Times New Roman" w:eastAsia="標楷體" w:hAnsi="Times New Roman"/>
          <w:color w:val="FF0000"/>
          <w:sz w:val="28"/>
        </w:rPr>
        <w:t>牛、羊、</w:t>
      </w:r>
      <w:r>
        <w:rPr>
          <w:rFonts w:ascii="Times New Roman" w:eastAsia="標楷體" w:hAnsi="Times New Roman"/>
          <w:color w:val="auto"/>
          <w:sz w:val="28"/>
        </w:rPr>
        <w:t>火雞、鴕鳥、鵪鶉等禽畜之養殖、屠宰、運輸、活體販賣等行業的工作人員。</w:t>
      </w:r>
    </w:p>
    <w:p w14:paraId="505FAF48" w14:textId="77777777" w:rsidR="008F114D" w:rsidRDefault="001B3E0F">
      <w:pPr>
        <w:pStyle w:val="Web"/>
        <w:widowControl w:val="0"/>
        <w:spacing w:before="0" w:after="0" w:line="340" w:lineRule="exact"/>
        <w:jc w:val="both"/>
        <w:textAlignment w:val="baseline"/>
        <w:outlineLvl w:val="0"/>
      </w:pPr>
      <w:bookmarkStart w:id="5" w:name="_Toc524957838"/>
      <w:r>
        <w:rPr>
          <w:rFonts w:ascii="Times New Roman" w:eastAsia="標楷體" w:hAnsi="Times New Roman"/>
          <w:b/>
          <w:color w:val="auto"/>
          <w:sz w:val="28"/>
          <w:shd w:val="clear" w:color="auto" w:fill="FFFFFF"/>
        </w:rPr>
        <w:t>接種禁忌</w:t>
      </w:r>
      <w:bookmarkEnd w:id="5"/>
    </w:p>
    <w:p w14:paraId="01D43D85" w14:textId="77777777" w:rsidR="008F114D" w:rsidRDefault="001B3E0F">
      <w:pPr>
        <w:spacing w:line="340" w:lineRule="exact"/>
        <w:ind w:left="906" w:hanging="560"/>
        <w:jc w:val="both"/>
        <w:rPr>
          <w:rFonts w:eastAsia="標楷體"/>
          <w:sz w:val="28"/>
        </w:rPr>
      </w:pPr>
      <w:r>
        <w:rPr>
          <w:rFonts w:eastAsia="標楷體"/>
          <w:sz w:val="28"/>
        </w:rPr>
        <w:t>一、</w:t>
      </w:r>
      <w:proofErr w:type="gramStart"/>
      <w:r>
        <w:rPr>
          <w:rFonts w:eastAsia="標楷體"/>
          <w:sz w:val="28"/>
        </w:rPr>
        <w:t>已知對疫苗</w:t>
      </w:r>
      <w:proofErr w:type="gramEnd"/>
      <w:r>
        <w:rPr>
          <w:rFonts w:eastAsia="標楷體"/>
          <w:sz w:val="28"/>
        </w:rPr>
        <w:t>的成分有過敏者，不予接種。</w:t>
      </w:r>
    </w:p>
    <w:p w14:paraId="4648BB0F" w14:textId="77777777" w:rsidR="008F114D" w:rsidRDefault="001B3E0F">
      <w:pPr>
        <w:spacing w:line="340" w:lineRule="exact"/>
        <w:ind w:left="906" w:hanging="560"/>
        <w:jc w:val="both"/>
        <w:rPr>
          <w:rFonts w:eastAsia="標楷體"/>
          <w:sz w:val="28"/>
        </w:rPr>
      </w:pPr>
      <w:r>
        <w:rPr>
          <w:rFonts w:eastAsia="標楷體"/>
          <w:sz w:val="28"/>
        </w:rPr>
        <w:t>二、過去注射曾經發生嚴重不良反應者，不予接種。</w:t>
      </w:r>
    </w:p>
    <w:p w14:paraId="6F3CFA93" w14:textId="77777777" w:rsidR="008F114D" w:rsidRDefault="001B3E0F">
      <w:pPr>
        <w:pStyle w:val="Web"/>
        <w:widowControl w:val="0"/>
        <w:spacing w:before="0" w:after="0" w:line="340" w:lineRule="exact"/>
        <w:jc w:val="both"/>
        <w:textAlignment w:val="baseline"/>
        <w:outlineLvl w:val="0"/>
      </w:pPr>
      <w:bookmarkStart w:id="6" w:name="_Toc524957839"/>
      <w:r>
        <w:rPr>
          <w:rFonts w:ascii="Times New Roman" w:eastAsia="標楷體" w:hAnsi="Times New Roman"/>
          <w:b/>
          <w:color w:val="auto"/>
          <w:sz w:val="28"/>
          <w:shd w:val="clear" w:color="auto" w:fill="FFFFFF"/>
        </w:rPr>
        <w:t>接種注意事項</w:t>
      </w:r>
      <w:bookmarkEnd w:id="6"/>
    </w:p>
    <w:p w14:paraId="1165DF3A" w14:textId="77777777" w:rsidR="008F114D" w:rsidRDefault="001B3E0F">
      <w:pPr>
        <w:spacing w:line="340" w:lineRule="exact"/>
        <w:ind w:left="906" w:hanging="560"/>
        <w:jc w:val="both"/>
        <w:rPr>
          <w:rFonts w:eastAsia="標楷體"/>
          <w:sz w:val="28"/>
        </w:rPr>
      </w:pPr>
      <w:r>
        <w:rPr>
          <w:rFonts w:eastAsia="標楷體"/>
          <w:sz w:val="28"/>
        </w:rPr>
        <w:t>一、發燒或正患有急性中</w:t>
      </w:r>
      <w:r>
        <w:rPr>
          <w:rFonts w:eastAsia="標楷體"/>
          <w:sz w:val="28"/>
        </w:rPr>
        <w:t>重疾病者，宜待病情穩定後再接種。</w:t>
      </w:r>
    </w:p>
    <w:p w14:paraId="0C31776F" w14:textId="77777777" w:rsidR="008F114D" w:rsidRDefault="001B3E0F">
      <w:pPr>
        <w:spacing w:line="340" w:lineRule="exact"/>
        <w:ind w:left="906" w:hanging="560"/>
        <w:jc w:val="both"/>
        <w:rPr>
          <w:rFonts w:eastAsia="標楷體"/>
          <w:sz w:val="28"/>
        </w:rPr>
      </w:pPr>
      <w:r>
        <w:rPr>
          <w:rFonts w:eastAsia="標楷體"/>
          <w:sz w:val="28"/>
        </w:rPr>
        <w:t>二、出生未滿</w:t>
      </w:r>
      <w:r>
        <w:rPr>
          <w:rFonts w:eastAsia="標楷體"/>
          <w:sz w:val="28"/>
        </w:rPr>
        <w:t>6</w:t>
      </w:r>
      <w:r>
        <w:rPr>
          <w:rFonts w:eastAsia="標楷體"/>
          <w:sz w:val="28"/>
        </w:rPr>
        <w:t>個月，因無使用效益及安全性等臨床資料，故不予接種。</w:t>
      </w:r>
    </w:p>
    <w:p w14:paraId="60BF9C1D" w14:textId="77777777" w:rsidR="008F114D" w:rsidRDefault="001B3E0F">
      <w:pPr>
        <w:spacing w:line="340" w:lineRule="exact"/>
        <w:ind w:left="906" w:hanging="560"/>
        <w:jc w:val="both"/>
        <w:rPr>
          <w:rFonts w:eastAsia="標楷體"/>
          <w:sz w:val="28"/>
        </w:rPr>
      </w:pPr>
      <w:r>
        <w:rPr>
          <w:rFonts w:eastAsia="標楷體"/>
          <w:sz w:val="28"/>
        </w:rPr>
        <w:t>三、先前接種本疫苗六</w:t>
      </w:r>
      <w:proofErr w:type="gramStart"/>
      <w:r>
        <w:rPr>
          <w:rFonts w:eastAsia="標楷體"/>
          <w:sz w:val="28"/>
        </w:rPr>
        <w:t>週</w:t>
      </w:r>
      <w:proofErr w:type="gramEnd"/>
      <w:r>
        <w:rPr>
          <w:rFonts w:eastAsia="標楷體"/>
          <w:sz w:val="28"/>
        </w:rPr>
        <w:t>內曾發生</w:t>
      </w:r>
      <w:r>
        <w:rPr>
          <w:rFonts w:eastAsia="標楷體"/>
          <w:sz w:val="28"/>
        </w:rPr>
        <w:t>Guillain-Barré</w:t>
      </w:r>
      <w:r>
        <w:rPr>
          <w:rFonts w:eastAsia="標楷體"/>
          <w:sz w:val="28"/>
        </w:rPr>
        <w:t>症候群（</w:t>
      </w:r>
      <w:r>
        <w:rPr>
          <w:rFonts w:eastAsia="標楷體"/>
          <w:sz w:val="28"/>
        </w:rPr>
        <w:t>GBS</w:t>
      </w:r>
      <w:r>
        <w:rPr>
          <w:rFonts w:eastAsia="標楷體"/>
          <w:sz w:val="28"/>
        </w:rPr>
        <w:t>）者，宜請醫師評估。</w:t>
      </w:r>
    </w:p>
    <w:p w14:paraId="31D4E69E" w14:textId="77777777" w:rsidR="008F114D" w:rsidRDefault="001B3E0F">
      <w:pPr>
        <w:spacing w:line="340" w:lineRule="exact"/>
        <w:ind w:left="906" w:hanging="560"/>
        <w:jc w:val="both"/>
        <w:rPr>
          <w:rFonts w:eastAsia="標楷體"/>
          <w:sz w:val="28"/>
        </w:rPr>
      </w:pPr>
      <w:r>
        <w:rPr>
          <w:rFonts w:eastAsia="標楷體"/>
          <w:sz w:val="28"/>
        </w:rPr>
        <w:t>四、其他經醫師評估不適合接種者，不予接種。</w:t>
      </w:r>
    </w:p>
    <w:p w14:paraId="4FA00C52" w14:textId="77777777" w:rsidR="008F114D" w:rsidRDefault="001B3E0F">
      <w:pPr>
        <w:pStyle w:val="Web"/>
        <w:spacing w:before="0" w:after="0" w:line="340" w:lineRule="exact"/>
        <w:jc w:val="both"/>
        <w:outlineLvl w:val="0"/>
      </w:pPr>
      <w:bookmarkStart w:id="7" w:name="_Toc524957840"/>
      <w:r>
        <w:rPr>
          <w:rFonts w:ascii="Times New Roman" w:eastAsia="標楷體" w:hAnsi="Times New Roman"/>
          <w:b/>
          <w:color w:val="auto"/>
          <w:sz w:val="28"/>
          <w:shd w:val="clear" w:color="auto" w:fill="FFFFFF"/>
        </w:rPr>
        <w:t>接種時間</w:t>
      </w:r>
      <w:bookmarkEnd w:id="7"/>
    </w:p>
    <w:p w14:paraId="4A058639" w14:textId="77777777" w:rsidR="008F114D" w:rsidRDefault="001B3E0F">
      <w:pPr>
        <w:pStyle w:val="1-1--15"/>
        <w:spacing w:before="90" w:line="340" w:lineRule="exact"/>
        <w:ind w:left="360" w:firstLine="560"/>
        <w:rPr>
          <w:szCs w:val="28"/>
        </w:rPr>
      </w:pPr>
      <w:r>
        <w:rPr>
          <w:szCs w:val="28"/>
        </w:rPr>
        <w:t>由於每年流行的流感病毒不一定相同，因此，符合接種計畫實施對象者，</w:t>
      </w:r>
      <w:proofErr w:type="gramStart"/>
      <w:r>
        <w:rPr>
          <w:szCs w:val="28"/>
        </w:rPr>
        <w:t>每年均須重新</w:t>
      </w:r>
      <w:proofErr w:type="gramEnd"/>
      <w:r>
        <w:rPr>
          <w:szCs w:val="28"/>
        </w:rPr>
        <w:t>接種。接種後至少約需</w:t>
      </w:r>
      <w:r>
        <w:rPr>
          <w:szCs w:val="28"/>
        </w:rPr>
        <w:t xml:space="preserve">2 </w:t>
      </w:r>
      <w:proofErr w:type="gramStart"/>
      <w:r>
        <w:rPr>
          <w:szCs w:val="28"/>
        </w:rPr>
        <w:t>週</w:t>
      </w:r>
      <w:proofErr w:type="gramEnd"/>
      <w:r>
        <w:rPr>
          <w:szCs w:val="28"/>
        </w:rPr>
        <w:t>的時間以產生保護力，其保護效果可持續</w:t>
      </w:r>
      <w:r>
        <w:rPr>
          <w:szCs w:val="28"/>
        </w:rPr>
        <w:t>1</w:t>
      </w:r>
      <w:r>
        <w:rPr>
          <w:szCs w:val="28"/>
        </w:rPr>
        <w:t>年，專家建議應於每年</w:t>
      </w:r>
      <w:r>
        <w:rPr>
          <w:szCs w:val="28"/>
        </w:rPr>
        <w:t>9</w:t>
      </w:r>
      <w:r>
        <w:rPr>
          <w:szCs w:val="28"/>
        </w:rPr>
        <w:t>月中旬以後施打，但應儘量在</w:t>
      </w:r>
      <w:r>
        <w:rPr>
          <w:szCs w:val="28"/>
        </w:rPr>
        <w:t>11</w:t>
      </w:r>
      <w:r>
        <w:rPr>
          <w:szCs w:val="28"/>
        </w:rPr>
        <w:t>月下旬之前完成接種，以因應每年農曆春節前後及</w:t>
      </w:r>
      <w:r>
        <w:rPr>
          <w:szCs w:val="28"/>
        </w:rPr>
        <w:t>2</w:t>
      </w:r>
      <w:r>
        <w:rPr>
          <w:szCs w:val="28"/>
        </w:rPr>
        <w:t>、</w:t>
      </w:r>
      <w:r>
        <w:rPr>
          <w:szCs w:val="28"/>
        </w:rPr>
        <w:t>3</w:t>
      </w:r>
      <w:r>
        <w:rPr>
          <w:szCs w:val="28"/>
        </w:rPr>
        <w:t>月的流感流行期。</w:t>
      </w:r>
    </w:p>
    <w:p w14:paraId="50FB09C7" w14:textId="77777777" w:rsidR="008F114D" w:rsidRDefault="001B3E0F">
      <w:pPr>
        <w:pStyle w:val="a3"/>
        <w:snapToGrid w:val="0"/>
        <w:spacing w:line="240" w:lineRule="atLeast"/>
        <w:rPr>
          <w:kern w:val="0"/>
          <w:sz w:val="28"/>
          <w:shd w:val="clear" w:color="auto" w:fill="FFFFFF"/>
        </w:rPr>
      </w:pPr>
      <w:r>
        <w:rPr>
          <w:kern w:val="0"/>
          <w:sz w:val="28"/>
          <w:shd w:val="clear" w:color="auto" w:fill="FFFFFF"/>
        </w:rPr>
        <w:lastRenderedPageBreak/>
        <w:t>安全</w:t>
      </w:r>
      <w:r>
        <w:rPr>
          <w:kern w:val="0"/>
          <w:sz w:val="28"/>
          <w:shd w:val="clear" w:color="auto" w:fill="FFFFFF"/>
        </w:rPr>
        <w:t>性及副作用</w:t>
      </w:r>
    </w:p>
    <w:p w14:paraId="49B305A9" w14:textId="77777777" w:rsidR="008F114D" w:rsidRDefault="001B3E0F">
      <w:pPr>
        <w:pStyle w:val="1-1--15"/>
        <w:spacing w:before="90" w:line="240" w:lineRule="atLeast"/>
        <w:ind w:left="360" w:firstLine="560"/>
        <w:rPr>
          <w:szCs w:val="28"/>
        </w:rPr>
      </w:pPr>
      <w:r>
        <w:rPr>
          <w:szCs w:val="28"/>
        </w:rPr>
        <w:t>流感疫苗是由死病毒製成的</w:t>
      </w:r>
      <w:proofErr w:type="gramStart"/>
      <w:r>
        <w:rPr>
          <w:szCs w:val="28"/>
        </w:rPr>
        <w:t>不</w:t>
      </w:r>
      <w:proofErr w:type="gramEnd"/>
      <w:r>
        <w:rPr>
          <w:szCs w:val="28"/>
        </w:rPr>
        <w:t>活化疫苗，因此不會因為接種流感疫苗而得到流感。接種後可能會有注射部位</w:t>
      </w:r>
      <w:proofErr w:type="gramStart"/>
      <w:r>
        <w:rPr>
          <w:szCs w:val="28"/>
        </w:rPr>
        <w:t>疼痛、</w:t>
      </w:r>
      <w:proofErr w:type="gramEnd"/>
      <w:r>
        <w:rPr>
          <w:szCs w:val="28"/>
        </w:rPr>
        <w:t>紅腫，少數的人會有全身性的輕微反應，如發燒、頭痛、肌肉酸痛、噁心、皮膚搔癢、蕁麻疹或紅疹等，ㄧ般會在發生後</w:t>
      </w:r>
      <w:r>
        <w:rPr>
          <w:szCs w:val="28"/>
        </w:rPr>
        <w:t>1</w:t>
      </w:r>
      <w:r>
        <w:rPr>
          <w:szCs w:val="28"/>
        </w:rPr>
        <w:t>至</w:t>
      </w:r>
      <w:r>
        <w:rPr>
          <w:szCs w:val="28"/>
        </w:rPr>
        <w:t>2</w:t>
      </w:r>
      <w:r>
        <w:rPr>
          <w:szCs w:val="28"/>
        </w:rPr>
        <w:t>天內自然恢復。和其他任何藥品一樣，雖然極少發生，但流感疫苗也有可能造成嚴重的副作用，如立即型過敏反應，甚至過敏性休克等不適情況（臨床表現包括呼吸困難、聲音沙啞、氣喘、眼睛或嘴唇腫脹、頭昏、心跳加速等），若不幸發生，通常於接種後幾分鐘至幾小時內即出現症狀。其他曾被零星報告過之不良事件包括神經系統症狀</w:t>
      </w:r>
      <w:proofErr w:type="gramStart"/>
      <w:r>
        <w:rPr>
          <w:szCs w:val="28"/>
        </w:rPr>
        <w:t>（</w:t>
      </w:r>
      <w:proofErr w:type="gramEnd"/>
      <w:r>
        <w:rPr>
          <w:szCs w:val="28"/>
        </w:rPr>
        <w:t>如：臂</w:t>
      </w:r>
      <w:proofErr w:type="gramStart"/>
      <w:r>
        <w:rPr>
          <w:szCs w:val="28"/>
        </w:rPr>
        <w:t>神經叢炎</w:t>
      </w:r>
      <w:proofErr w:type="gramEnd"/>
      <w:r>
        <w:rPr>
          <w:szCs w:val="28"/>
        </w:rPr>
        <w:t>、顏面神經麻痺、熱痙攣、腦脊髓炎、對稱性神經麻痺為表現的</w:t>
      </w:r>
      <w:r>
        <w:rPr>
          <w:szCs w:val="28"/>
        </w:rPr>
        <w:t>Guillain-Barré</w:t>
      </w:r>
      <w:r>
        <w:rPr>
          <w:szCs w:val="28"/>
        </w:rPr>
        <w:t>症候群等）和血液系統症狀（如：暫時性血小板低下，臨床表現包括皮膚出現</w:t>
      </w:r>
      <w:proofErr w:type="gramStart"/>
      <w:r>
        <w:rPr>
          <w:szCs w:val="28"/>
        </w:rPr>
        <w:t>紫斑或出血</w:t>
      </w:r>
      <w:proofErr w:type="gramEnd"/>
      <w:r>
        <w:rPr>
          <w:szCs w:val="28"/>
        </w:rPr>
        <w:t>點、出血時不易止血等）。除了</w:t>
      </w:r>
      <w:proofErr w:type="gramStart"/>
      <w:r>
        <w:rPr>
          <w:szCs w:val="28"/>
        </w:rPr>
        <w:t>1976</w:t>
      </w:r>
      <w:r>
        <w:rPr>
          <w:szCs w:val="28"/>
        </w:rPr>
        <w:t>年豬流感</w:t>
      </w:r>
      <w:proofErr w:type="gramEnd"/>
      <w:r>
        <w:rPr>
          <w:szCs w:val="28"/>
        </w:rPr>
        <w:t>疫苗、</w:t>
      </w:r>
      <w:r>
        <w:rPr>
          <w:szCs w:val="28"/>
        </w:rPr>
        <w:t>2009</w:t>
      </w:r>
      <w:r>
        <w:rPr>
          <w:szCs w:val="28"/>
        </w:rPr>
        <w:t>年</w:t>
      </w:r>
      <w:r>
        <w:rPr>
          <w:szCs w:val="28"/>
        </w:rPr>
        <w:t>H1N1</w:t>
      </w:r>
      <w:r>
        <w:rPr>
          <w:szCs w:val="28"/>
        </w:rPr>
        <w:t>新型流感疫苗與部分季節性流感疫苗經流行病學研究證實與</w:t>
      </w:r>
      <w:r>
        <w:rPr>
          <w:szCs w:val="28"/>
        </w:rPr>
        <w:t>Guillain-Barré</w:t>
      </w:r>
      <w:r>
        <w:rPr>
          <w:szCs w:val="28"/>
        </w:rPr>
        <w:t>症候群可能相關外，其他少有確切統計數據證明與接種流感疫苗有關。</w:t>
      </w:r>
      <w:proofErr w:type="gramStart"/>
      <w:r>
        <w:rPr>
          <w:szCs w:val="28"/>
        </w:rPr>
        <w:t>此外，</w:t>
      </w:r>
      <w:proofErr w:type="gramEnd"/>
      <w:r>
        <w:rPr>
          <w:szCs w:val="28"/>
        </w:rPr>
        <w:t>現有研究結果與世界衛生組織報告均顯示，孕婦於懷孕期間接種不活化流感疫苗，並未增加妊娠及胎兒不良事件之風險。</w:t>
      </w:r>
    </w:p>
    <w:p w14:paraId="73ED1396" w14:textId="77777777" w:rsidR="008F114D" w:rsidRDefault="001B3E0F">
      <w:pPr>
        <w:pStyle w:val="1-1--15"/>
        <w:spacing w:before="90" w:line="340" w:lineRule="exact"/>
        <w:ind w:left="360" w:firstLine="560"/>
        <w:rPr>
          <w:szCs w:val="28"/>
        </w:rPr>
      </w:pPr>
      <w:r>
        <w:rPr>
          <w:szCs w:val="28"/>
        </w:rPr>
        <w:t>目前研究發現</w:t>
      </w:r>
      <w:r>
        <w:rPr>
          <w:szCs w:val="28"/>
        </w:rPr>
        <w:t>，雞蛋過敏者接種雞胚胎製程之流感疫苗並不會影響過敏反應發生率，國際上皆建議雞蛋過敏者可安心接種流感疫苗。</w:t>
      </w:r>
    </w:p>
    <w:p w14:paraId="6915509C" w14:textId="77777777" w:rsidR="008F114D" w:rsidRDefault="001B3E0F">
      <w:pPr>
        <w:pStyle w:val="a3"/>
        <w:snapToGrid w:val="0"/>
        <w:spacing w:line="240" w:lineRule="atLeast"/>
      </w:pPr>
      <w:r>
        <w:rPr>
          <w:sz w:val="28"/>
          <w:shd w:val="clear" w:color="auto" w:fill="FFFFFF"/>
        </w:rPr>
        <w:t>接種後</w:t>
      </w:r>
      <w:r>
        <w:rPr>
          <w:kern w:val="0"/>
          <w:sz w:val="28"/>
          <w:shd w:val="clear" w:color="auto" w:fill="FFFFFF"/>
        </w:rPr>
        <w:t>注意事項</w:t>
      </w:r>
    </w:p>
    <w:p w14:paraId="71C258E5" w14:textId="77777777" w:rsidR="008F114D" w:rsidRDefault="001B3E0F">
      <w:pPr>
        <w:pStyle w:val="Web"/>
        <w:numPr>
          <w:ilvl w:val="0"/>
          <w:numId w:val="2"/>
        </w:numPr>
        <w:tabs>
          <w:tab w:val="left" w:pos="426"/>
        </w:tabs>
        <w:spacing w:before="0" w:after="0" w:line="340" w:lineRule="exact"/>
        <w:ind w:left="426" w:hanging="426"/>
        <w:jc w:val="both"/>
      </w:pPr>
      <w:r>
        <w:rPr>
          <w:rFonts w:eastAsia="標楷體"/>
          <w:sz w:val="28"/>
        </w:rPr>
        <w:t>接種疫苗後有極低的可能性發生立即型過敏反應，嚴重時可能導致過敏性休克。為了能在事件發生後立即進行醫療處置，接種疫苗後應於接種單位或</w:t>
      </w:r>
      <w:proofErr w:type="gramStart"/>
      <w:r>
        <w:rPr>
          <w:rFonts w:eastAsia="標楷體"/>
          <w:sz w:val="28"/>
        </w:rPr>
        <w:t>附近稍</w:t>
      </w:r>
      <w:proofErr w:type="gramEnd"/>
      <w:r>
        <w:rPr>
          <w:rFonts w:eastAsia="標楷體"/>
          <w:sz w:val="28"/>
        </w:rPr>
        <w:t>做休息，</w:t>
      </w:r>
      <w:proofErr w:type="gramStart"/>
      <w:r>
        <w:rPr>
          <w:rFonts w:eastAsia="標楷體"/>
          <w:sz w:val="28"/>
        </w:rPr>
        <w:t>並留觀</w:t>
      </w:r>
      <w:r>
        <w:rPr>
          <w:rFonts w:ascii="Times New Roman" w:eastAsia="標楷體" w:hAnsi="Times New Roman"/>
          <w:sz w:val="28"/>
        </w:rPr>
        <w:t>15</w:t>
      </w:r>
      <w:r>
        <w:rPr>
          <w:rFonts w:ascii="Times New Roman" w:eastAsia="標楷體" w:hAnsi="Times New Roman"/>
          <w:sz w:val="28"/>
        </w:rPr>
        <w:t>分</w:t>
      </w:r>
      <w:proofErr w:type="gramEnd"/>
      <w:r>
        <w:rPr>
          <w:rFonts w:ascii="Times New Roman" w:eastAsia="標楷體" w:hAnsi="Times New Roman"/>
          <w:sz w:val="28"/>
        </w:rPr>
        <w:t>鐘，離開後請自我密切觀察</w:t>
      </w:r>
      <w:r>
        <w:rPr>
          <w:rFonts w:ascii="Times New Roman" w:eastAsia="標楷體" w:hAnsi="Times New Roman"/>
          <w:sz w:val="28"/>
        </w:rPr>
        <w:t>15</w:t>
      </w:r>
      <w:r>
        <w:rPr>
          <w:rFonts w:ascii="Times New Roman" w:eastAsia="標楷體" w:hAnsi="Times New Roman"/>
          <w:sz w:val="28"/>
        </w:rPr>
        <w:t>分</w:t>
      </w:r>
      <w:r>
        <w:rPr>
          <w:rFonts w:eastAsia="標楷體"/>
          <w:sz w:val="28"/>
        </w:rPr>
        <w:t>鐘。</w:t>
      </w:r>
    </w:p>
    <w:p w14:paraId="47D93C6E" w14:textId="77777777" w:rsidR="008F114D" w:rsidRDefault="001B3E0F">
      <w:pPr>
        <w:pStyle w:val="Web"/>
        <w:numPr>
          <w:ilvl w:val="0"/>
          <w:numId w:val="2"/>
        </w:numPr>
        <w:tabs>
          <w:tab w:val="left" w:pos="426"/>
        </w:tabs>
        <w:spacing w:before="0" w:after="0" w:line="340" w:lineRule="exact"/>
        <w:ind w:left="426" w:hanging="426"/>
        <w:jc w:val="both"/>
        <w:rPr>
          <w:rFonts w:ascii="Times New Roman" w:eastAsia="標楷體" w:hAnsi="Times New Roman"/>
          <w:color w:val="auto"/>
          <w:sz w:val="28"/>
          <w:szCs w:val="28"/>
        </w:rPr>
      </w:pPr>
      <w:r>
        <w:rPr>
          <w:rFonts w:ascii="Times New Roman" w:eastAsia="標楷體" w:hAnsi="Times New Roman"/>
          <w:color w:val="auto"/>
          <w:sz w:val="28"/>
          <w:szCs w:val="28"/>
        </w:rPr>
        <w:t>使用抗血小板或抗凝血藥物或凝血功能</w:t>
      </w:r>
      <w:proofErr w:type="gramStart"/>
      <w:r>
        <w:rPr>
          <w:rFonts w:ascii="Times New Roman" w:eastAsia="標楷體" w:hAnsi="Times New Roman"/>
          <w:color w:val="auto"/>
          <w:sz w:val="28"/>
          <w:szCs w:val="28"/>
        </w:rPr>
        <w:t>異常者施打</w:t>
      </w:r>
      <w:proofErr w:type="gramEnd"/>
      <w:r>
        <w:rPr>
          <w:rFonts w:ascii="Times New Roman" w:eastAsia="標楷體" w:hAnsi="Times New Roman"/>
          <w:color w:val="auto"/>
          <w:sz w:val="28"/>
          <w:szCs w:val="28"/>
        </w:rPr>
        <w:t>後於注射部位加壓至少</w:t>
      </w:r>
      <w:r>
        <w:rPr>
          <w:rFonts w:ascii="Times New Roman" w:eastAsia="標楷體" w:hAnsi="Times New Roman"/>
          <w:color w:val="auto"/>
          <w:sz w:val="28"/>
          <w:szCs w:val="28"/>
        </w:rPr>
        <w:t>2</w:t>
      </w:r>
      <w:r>
        <w:rPr>
          <w:rFonts w:ascii="Times New Roman" w:eastAsia="標楷體" w:hAnsi="Times New Roman"/>
          <w:color w:val="auto"/>
          <w:sz w:val="28"/>
          <w:szCs w:val="28"/>
        </w:rPr>
        <w:t>分鐘，並觀察是否仍有出血或血腫情形。</w:t>
      </w:r>
    </w:p>
    <w:p w14:paraId="73F02FE2" w14:textId="77777777" w:rsidR="008F114D" w:rsidRDefault="001B3E0F">
      <w:pPr>
        <w:pStyle w:val="Web"/>
        <w:numPr>
          <w:ilvl w:val="0"/>
          <w:numId w:val="2"/>
        </w:numPr>
        <w:tabs>
          <w:tab w:val="left" w:pos="426"/>
        </w:tabs>
        <w:spacing w:before="0" w:after="0" w:line="340" w:lineRule="exact"/>
        <w:ind w:left="426" w:hanging="426"/>
        <w:jc w:val="both"/>
      </w:pPr>
      <w:r>
        <w:rPr>
          <w:rFonts w:ascii="Times New Roman" w:eastAsia="標楷體" w:hAnsi="Times New Roman"/>
          <w:color w:val="auto"/>
          <w:sz w:val="28"/>
          <w:szCs w:val="28"/>
        </w:rPr>
        <w:t>接種後應注意有無持續</w:t>
      </w:r>
      <w:r>
        <w:rPr>
          <w:rFonts w:ascii="Times New Roman" w:eastAsia="標楷體" w:hAnsi="Times New Roman"/>
          <w:color w:val="auto"/>
          <w:sz w:val="28"/>
        </w:rPr>
        <w:t>發燒（超過</w:t>
      </w:r>
      <w:r>
        <w:rPr>
          <w:rFonts w:ascii="Times New Roman" w:eastAsia="標楷體" w:hAnsi="Times New Roman"/>
          <w:color w:val="auto"/>
          <w:sz w:val="28"/>
        </w:rPr>
        <w:t>48</w:t>
      </w:r>
      <w:r>
        <w:rPr>
          <w:rFonts w:ascii="Times New Roman" w:eastAsia="標楷體" w:hAnsi="Times New Roman"/>
          <w:color w:val="auto"/>
          <w:sz w:val="28"/>
        </w:rPr>
        <w:t>小時）、意識或行為改變、呼吸困難、心跳加速等異常狀況，如有不適，應儘速就醫，告知醫師相關症狀、症狀發生時間、疫苗接種時間，以做為診斷參考，並通報當地衛生局或疾病管制署。</w:t>
      </w:r>
    </w:p>
    <w:p w14:paraId="6069EED4" w14:textId="77777777" w:rsidR="008F114D" w:rsidRDefault="001B3E0F">
      <w:pPr>
        <w:pStyle w:val="Web"/>
        <w:numPr>
          <w:ilvl w:val="0"/>
          <w:numId w:val="2"/>
        </w:numPr>
        <w:tabs>
          <w:tab w:val="left" w:pos="426"/>
        </w:tabs>
        <w:spacing w:before="0" w:after="0" w:line="340" w:lineRule="exact"/>
        <w:ind w:left="426" w:hanging="426"/>
        <w:jc w:val="both"/>
        <w:rPr>
          <w:rFonts w:ascii="Times New Roman" w:eastAsia="標楷體" w:hAnsi="Times New Roman"/>
          <w:color w:val="auto"/>
          <w:sz w:val="28"/>
          <w:szCs w:val="28"/>
        </w:rPr>
      </w:pPr>
      <w:r>
        <w:rPr>
          <w:rFonts w:ascii="Times New Roman" w:eastAsia="標楷體" w:hAnsi="Times New Roman"/>
          <w:color w:val="auto"/>
          <w:sz w:val="28"/>
          <w:szCs w:val="28"/>
        </w:rPr>
        <w:t>完成疫苗接種後，雖可有效降低感染流感病毒的機率，但仍可能</w:t>
      </w:r>
      <w:proofErr w:type="gramStart"/>
      <w:r>
        <w:rPr>
          <w:rFonts w:ascii="Times New Roman" w:eastAsia="標楷體" w:hAnsi="Times New Roman"/>
          <w:color w:val="auto"/>
          <w:sz w:val="28"/>
          <w:szCs w:val="28"/>
        </w:rPr>
        <w:t>罹</w:t>
      </w:r>
      <w:proofErr w:type="gramEnd"/>
      <w:r>
        <w:rPr>
          <w:rFonts w:ascii="Times New Roman" w:eastAsia="標楷體" w:hAnsi="Times New Roman"/>
          <w:color w:val="auto"/>
          <w:sz w:val="28"/>
          <w:szCs w:val="28"/>
        </w:rPr>
        <w:t>患</w:t>
      </w:r>
      <w:proofErr w:type="gramStart"/>
      <w:r>
        <w:rPr>
          <w:rFonts w:ascii="Times New Roman" w:eastAsia="標楷體" w:hAnsi="Times New Roman"/>
          <w:color w:val="auto"/>
          <w:sz w:val="28"/>
          <w:szCs w:val="28"/>
        </w:rPr>
        <w:t>其他非流</w:t>
      </w:r>
      <w:proofErr w:type="gramEnd"/>
      <w:r>
        <w:rPr>
          <w:rFonts w:ascii="Times New Roman" w:eastAsia="標楷體" w:hAnsi="Times New Roman"/>
          <w:color w:val="auto"/>
          <w:sz w:val="28"/>
          <w:szCs w:val="28"/>
        </w:rPr>
        <w:t>感病毒所引起的呼吸道感染，請注意個人衛生保健及各種預防措施，維護身體健康。</w:t>
      </w:r>
    </w:p>
    <w:p w14:paraId="5AFC336D" w14:textId="77777777" w:rsidR="008F114D" w:rsidRDefault="008F114D">
      <w:pPr>
        <w:widowControl/>
        <w:rPr>
          <w:rFonts w:ascii="標楷體" w:eastAsia="標楷體" w:hAnsi="標楷體"/>
          <w:sz w:val="20"/>
          <w:szCs w:val="20"/>
        </w:rPr>
      </w:pPr>
    </w:p>
    <w:sectPr w:rsidR="008F114D">
      <w:pgSz w:w="11906" w:h="16838"/>
      <w:pgMar w:top="737" w:right="737" w:bottom="737" w:left="73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8C883" w14:textId="77777777" w:rsidR="001B3E0F" w:rsidRDefault="001B3E0F">
      <w:r>
        <w:separator/>
      </w:r>
    </w:p>
  </w:endnote>
  <w:endnote w:type="continuationSeparator" w:id="0">
    <w:p w14:paraId="29863992" w14:textId="77777777" w:rsidR="001B3E0F" w:rsidRDefault="001B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E5B13" w14:textId="77777777" w:rsidR="001B3E0F" w:rsidRDefault="001B3E0F">
      <w:r>
        <w:rPr>
          <w:color w:val="000000"/>
        </w:rPr>
        <w:separator/>
      </w:r>
    </w:p>
  </w:footnote>
  <w:footnote w:type="continuationSeparator" w:id="0">
    <w:p w14:paraId="7DE42C7E" w14:textId="77777777" w:rsidR="001B3E0F" w:rsidRDefault="001B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D377C"/>
    <w:multiLevelType w:val="multilevel"/>
    <w:tmpl w:val="AF7A8A6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79464515"/>
    <w:multiLevelType w:val="multilevel"/>
    <w:tmpl w:val="E7AC3E90"/>
    <w:lvl w:ilvl="0">
      <w:numFmt w:val="bullet"/>
      <w:lvlText w:val=""/>
      <w:lvlJc w:val="left"/>
      <w:pPr>
        <w:ind w:left="192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F114D"/>
    <w:rsid w:val="001B3E0F"/>
    <w:rsid w:val="00330059"/>
    <w:rsid w:val="008F114D"/>
    <w:rsid w:val="00A171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9351"/>
  <w15:docId w15:val="{5E9672A4-17F7-4795-B9DB-1CD34E25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5">
    <w:name w:val="1-1-節-縮1.5 縮排"/>
    <w:basedOn w:val="a"/>
    <w:pPr>
      <w:spacing w:line="500" w:lineRule="exact"/>
      <w:ind w:left="150" w:firstLine="200"/>
      <w:jc w:val="both"/>
    </w:pPr>
    <w:rPr>
      <w:rFonts w:ascii="Times New Roman" w:eastAsia="標楷體" w:hAnsi="Times New Roman"/>
      <w:sz w:val="28"/>
      <w:szCs w:val="20"/>
    </w:rPr>
  </w:style>
  <w:style w:type="character" w:customStyle="1" w:styleId="1-1--150">
    <w:name w:val="1-1-節-縮1.5 縮排 字元 字元"/>
    <w:rPr>
      <w:rFonts w:ascii="Times New Roman" w:eastAsia="標楷體" w:hAnsi="Times New Roman" w:cs="Times New Roman"/>
      <w:sz w:val="28"/>
      <w:szCs w:val="20"/>
    </w:rPr>
  </w:style>
  <w:style w:type="paragraph" w:styleId="Web">
    <w:name w:val="Normal (Web)"/>
    <w:basedOn w:val="a"/>
    <w:pPr>
      <w:widowControl/>
      <w:spacing w:before="100" w:after="100"/>
    </w:pPr>
    <w:rPr>
      <w:rFonts w:ascii="Arial Unicode MS" w:eastAsia="Arial Unicode MS" w:hAnsi="Arial Unicode MS"/>
      <w:color w:val="000000"/>
      <w:kern w:val="0"/>
      <w:szCs w:val="20"/>
    </w:rPr>
  </w:style>
  <w:style w:type="paragraph" w:styleId="a3">
    <w:name w:val="Body Text"/>
    <w:basedOn w:val="a"/>
    <w:pPr>
      <w:autoSpaceDE w:val="0"/>
      <w:jc w:val="both"/>
      <w:textAlignment w:val="center"/>
    </w:pPr>
    <w:rPr>
      <w:rFonts w:ascii="Times New Roman" w:eastAsia="標楷體" w:hAnsi="Times New Roman"/>
      <w:b/>
      <w:sz w:val="40"/>
      <w:szCs w:val="20"/>
    </w:rPr>
  </w:style>
  <w:style w:type="character" w:customStyle="1" w:styleId="a4">
    <w:name w:val="本文 字元"/>
    <w:basedOn w:val="a0"/>
    <w:rPr>
      <w:rFonts w:ascii="Times New Roman" w:eastAsia="標楷體" w:hAnsi="Times New Roman" w:cs="Times New Roman"/>
      <w:b/>
      <w:sz w:val="40"/>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李柏萱</dc:creator>
  <dc:description/>
  <cp:lastModifiedBy>莊梅鈺</cp:lastModifiedBy>
  <cp:revision>2</cp:revision>
  <cp:lastPrinted>2024-08-06T10:04:00Z</cp:lastPrinted>
  <dcterms:created xsi:type="dcterms:W3CDTF">2024-08-06T10:04:00Z</dcterms:created>
  <dcterms:modified xsi:type="dcterms:W3CDTF">2024-08-06T10:04:00Z</dcterms:modified>
</cp:coreProperties>
</file>