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firstLine="360"/>
        <w:jc w:val="center"/>
        <w:rPr/>
      </w:pPr>
      <w:r>
        <w:rPr/>
        <w:drawing>
          <wp:inline distT="0" distB="0" distL="0" distR="0">
            <wp:extent cx="7077075" cy="9725025"/>
            <wp:effectExtent l="0" t="0" r="0" b="0"/>
            <wp:docPr id="1" name="Objec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38975" cy="9753600"/>
            <wp:effectExtent l="0" t="0" r="0" b="0"/>
            <wp:docPr id="2" name="Object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6829425" cy="10020300"/>
            <wp:effectExtent l="0" t="0" r="0" b="0"/>
            <wp:docPr id="3" name="Objec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705600" cy="9896475"/>
            <wp:effectExtent l="0" t="0" r="0" b="0"/>
            <wp:docPr id="4" name="Objec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838950" cy="9877425"/>
            <wp:effectExtent l="0" t="0" r="0" b="0"/>
            <wp:docPr id="5" name="Object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915150" cy="9525000"/>
            <wp:effectExtent l="0" t="0" r="0" b="0"/>
            <wp:docPr id="6" name="Object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96125" cy="9420225"/>
            <wp:effectExtent l="0" t="0" r="0" b="0"/>
            <wp:docPr id="7" name="Object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915150" cy="11791950"/>
            <wp:effectExtent l="0" t="0" r="0" b="0"/>
            <wp:docPr id="8" name="Object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79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33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89"/>
        <w:gridCol w:w="1701"/>
        <w:gridCol w:w="1843"/>
      </w:tblGrid>
      <w:tr>
        <w:trPr>
          <w:trHeight w:val="585" w:hRule="atLeast"/>
        </w:trPr>
        <w:tc>
          <w:tcPr>
            <w:tcW w:w="67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十八、烤燈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十九、生命中樞監測設備：包括心電圖、血壓及血氧濃</w:t>
            </w:r>
          </w:p>
          <w:p>
            <w:pPr>
              <w:pStyle w:val="Style19"/>
              <w:spacing w:lineRule="exact" w:line="560"/>
              <w:ind w:firstLine="84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度監測設備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二十、緊急剖腹產手術設備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二十一、胎兒監視器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二十二、超音波儀器（可與門診共用）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二十三、急救設備及急救藥品等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二十四、污物處理設備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二十五、刷手台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二十六、緊急供電設備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67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二十七、門診手術室、產房、供應室應有護產人員</w:t>
            </w: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sz w:val="28"/>
                <w:szCs w:val="28"/>
              </w:rPr>
              <w:t>人</w:t>
            </w:r>
          </w:p>
          <w:p>
            <w:pPr>
              <w:pStyle w:val="Style19"/>
              <w:tabs>
                <w:tab w:val="clear" w:pos="480"/>
              </w:tabs>
              <w:spacing w:lineRule="exact" w:line="560"/>
              <w:ind w:left="114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流用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9"/>
        <w:tabs>
          <w:tab w:val="clear" w:pos="480"/>
        </w:tabs>
        <w:spacing w:lineRule="exact" w:line="720"/>
        <w:ind w:left="425" w:hanging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稽查結果：□符合設置標準   □不符合設置標準     稽查人員：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720"/>
        <w:ind w:left="785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稽查當時稽查事項與事實相符，被稽查診所負責人並無異議，且稽查人員無不法情事。</w:t>
      </w:r>
    </w:p>
    <w:p>
      <w:pPr>
        <w:pStyle w:val="Style19"/>
        <w:tabs>
          <w:tab w:val="clear" w:pos="480"/>
        </w:tabs>
        <w:spacing w:lineRule="exact" w:line="720"/>
        <w:ind w:left="425" w:hanging="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診所負責人簽章：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                         </w:t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spacing w:lineRule="auto"/>
        <w:jc w:val="center"/>
        <w:rPr>
          <w:rFonts w:ascii="標楷體" w:hAnsi="標楷體" w:eastAsia="標楷體"/>
          <w:bCs/>
          <w:sz w:val="32"/>
          <w:szCs w:val="32"/>
        </w:rPr>
      </w:pPr>
      <w:r>
        <w:rPr>
          <w:rFonts w:ascii="標楷體" w:hAnsi="標楷體" w:eastAsia="標楷體"/>
          <w:bCs/>
          <w:sz w:val="32"/>
          <w:szCs w:val="32"/>
        </w:rPr>
        <w:t>臺中市政府衛生局</w:t>
      </w:r>
    </w:p>
    <w:p>
      <w:pPr>
        <w:pStyle w:val="Style19"/>
        <w:spacing w:lineRule="auto"/>
        <w:jc w:val="center"/>
        <w:rPr/>
      </w:pPr>
      <w:r>
        <w:rPr>
          <w:rStyle w:val="Style14"/>
          <w:rFonts w:eastAsia="標楷體"/>
          <w:sz w:val="32"/>
          <w:szCs w:val="32"/>
        </w:rPr>
        <w:t>稽查診所嬰兒室設備及人員配置查核</w:t>
      </w:r>
      <w:r>
        <w:rPr>
          <w:rStyle w:val="Style14"/>
          <w:rFonts w:ascii="標楷體" w:hAnsi="標楷體" w:eastAsia="標楷體"/>
          <w:spacing w:val="20"/>
          <w:sz w:val="32"/>
          <w:szCs w:val="32"/>
        </w:rPr>
        <w:t>表</w:t>
      </w:r>
    </w:p>
    <w:p>
      <w:pPr>
        <w:pStyle w:val="Style19"/>
        <w:tabs>
          <w:tab w:val="clear" w:pos="480"/>
        </w:tabs>
        <w:spacing w:lineRule="auto"/>
        <w:ind w:left="540" w:hanging="540"/>
        <w:jc w:val="distribute"/>
        <w:rPr/>
      </w:pPr>
      <w:r>
        <w:rPr>
          <w:rStyle w:val="Style14"/>
          <w:rFonts w:eastAsia="標楷體"/>
          <w:sz w:val="28"/>
          <w:szCs w:val="28"/>
        </w:rPr>
        <w:t xml:space="preserve">                                      </w:t>
      </w:r>
      <w:r>
        <w:rPr>
          <w:rStyle w:val="Style14"/>
          <w:rFonts w:eastAsia="標楷體"/>
          <w:sz w:val="32"/>
          <w:szCs w:val="32"/>
        </w:rPr>
        <w:t xml:space="preserve">                 </w:t>
      </w:r>
      <w:r>
        <w:rPr>
          <w:rStyle w:val="Style14"/>
          <w:rFonts w:eastAsia="標楷體"/>
          <w:sz w:val="32"/>
          <w:szCs w:val="32"/>
        </w:rPr>
        <w:t>年    月    日</w:t>
      </w:r>
    </w:p>
    <w:tbl>
      <w:tblPr>
        <w:tblW w:w="1042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09"/>
        <w:gridCol w:w="3372"/>
        <w:gridCol w:w="1425"/>
        <w:gridCol w:w="360"/>
        <w:gridCol w:w="1677"/>
        <w:gridCol w:w="1678"/>
      </w:tblGrid>
      <w:tr>
        <w:trPr>
          <w:trHeight w:val="754" w:hRule="atLeast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申請人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診所名稱</w:t>
            </w:r>
          </w:p>
        </w:tc>
        <w:tc>
          <w:tcPr>
            <w:tcW w:w="371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診所</w:t>
            </w:r>
          </w:p>
        </w:tc>
      </w:tr>
      <w:tr>
        <w:trPr>
          <w:trHeight w:val="776" w:hRule="atLeast"/>
        </w:trPr>
        <w:tc>
          <w:tcPr>
            <w:tcW w:w="19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地址</w:t>
            </w:r>
          </w:p>
        </w:tc>
        <w:tc>
          <w:tcPr>
            <w:tcW w:w="8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臺中市     區      里          路      段       號       樓</w:t>
            </w:r>
          </w:p>
        </w:tc>
      </w:tr>
      <w:tr>
        <w:trPr>
          <w:trHeight w:val="762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查    核   事   項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是否符合</w:t>
            </w:r>
          </w:p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 ˇ</w:t>
            </w:r>
            <w:r>
              <w:rPr>
                <w:rFonts w:ascii="標楷體" w:hAnsi="標楷體" w:eastAsia="標楷體"/>
                <w:sz w:val="28"/>
                <w:szCs w:val="28"/>
              </w:rPr>
              <w:t>或</w:t>
            </w:r>
            <w:r>
              <w:rPr>
                <w:rFonts w:eastAsia="標楷體" w:ascii="標楷體" w:hAnsi="標楷體"/>
                <w:sz w:val="28"/>
                <w:szCs w:val="28"/>
              </w:rPr>
              <w:t>×)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  　註</w:t>
            </w:r>
          </w:p>
        </w:tc>
      </w:tr>
      <w:tr>
        <w:trPr>
          <w:trHeight w:val="5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一、不得設於地下樓層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9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440"/>
              <w:ind w:left="664" w:hanging="566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二、每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1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獨立房間不得超過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16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床嬰兒床。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每床平均面積不得小於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2.8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平方公尺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013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4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三、應有調奶設備：包括工作檯、清潔消毒設備、</w:t>
            </w:r>
          </w:p>
          <w:p>
            <w:pPr>
              <w:pStyle w:val="Style19"/>
              <w:spacing w:lineRule="exact" w:line="4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</w:rPr>
              <w:t>奶品貯存及冷藏設備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四、應有手部衛生設備及嬰兒洗澡設備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五、嬰兒床應有適當間距，並訂有感染管制措施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09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六、空調設備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七、嬰兒專用保溫設備或站立式輻射加溫設備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八、高黃疸之照光治療設備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471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九、緊急聯絡系統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42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十、急救設備及急救藥物等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十一、緊急供電設備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7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十二、全天</w:t>
            </w:r>
            <w:r>
              <w:rPr>
                <w:rFonts w:eastAsia="標楷體" w:ascii="標楷體" w:hAnsi="標楷體"/>
                <w:sz w:val="28"/>
                <w:szCs w:val="28"/>
              </w:rPr>
              <w:t>24</w:t>
            </w:r>
            <w:r>
              <w:rPr>
                <w:rFonts w:ascii="標楷體" w:hAnsi="標楷體" w:eastAsia="標楷體"/>
                <w:sz w:val="28"/>
                <w:szCs w:val="28"/>
              </w:rPr>
              <w:t>小時應有護產人員提供服務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9"/>
        <w:spacing w:lineRule="exact" w:line="280" w:before="180" w:after="180"/>
        <w:ind w:firstLine="280"/>
        <w:rPr/>
      </w:pPr>
      <w:r>
        <w:rPr>
          <w:rStyle w:val="Style14"/>
          <w:rFonts w:ascii="標楷體" w:hAnsi="標楷體" w:eastAsia="標楷體"/>
          <w:sz w:val="28"/>
          <w:szCs w:val="28"/>
        </w:rPr>
        <w:t>稽查結果：□符合設置標準    □不符合設置標準   稽查人員：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500"/>
        <w:ind w:left="357" w:hanging="73"/>
        <w:rPr/>
      </w:pPr>
      <w:r>
        <w:rPr>
          <w:rStyle w:val="Style14"/>
          <w:rFonts w:ascii="標楷體" w:hAnsi="標楷體" w:eastAsia="標楷體"/>
          <w:sz w:val="28"/>
          <w:szCs w:val="28"/>
        </w:rPr>
        <w:t>稽查當時稽查事項與事實相符，被稽查診所負責人並無異議，且稽查人員無不法情</w:t>
      </w:r>
    </w:p>
    <w:p>
      <w:pPr>
        <w:pStyle w:val="Style19"/>
        <w:tabs>
          <w:tab w:val="clear" w:pos="480"/>
        </w:tabs>
        <w:spacing w:lineRule="exact" w:line="500"/>
        <w:ind w:left="-72" w:firstLine="28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9"/>
        <w:tabs>
          <w:tab w:val="clear" w:pos="480"/>
        </w:tabs>
        <w:spacing w:lineRule="exact" w:line="500"/>
        <w:ind w:left="-72" w:firstLine="28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診所負責人簽章：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                        </w:t>
      </w:r>
    </w:p>
    <w:p>
      <w:pPr>
        <w:pStyle w:val="Style19"/>
        <w:rPr/>
      </w:pPr>
      <w:r>
        <w:rPr/>
        <w:drawing>
          <wp:inline distT="0" distB="0" distL="0" distR="0">
            <wp:extent cx="6915150" cy="9944100"/>
            <wp:effectExtent l="0" t="0" r="0" b="0"/>
            <wp:docPr id="9" name="Object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915150" cy="8067675"/>
            <wp:effectExtent l="0" t="0" r="0" b="0"/>
            <wp:docPr id="10" name="Object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19"/>
        <w:widowControl/>
        <w:rPr/>
      </w:pPr>
      <w:r>
        <w:rPr/>
      </w:r>
    </w:p>
    <w:p>
      <w:pPr>
        <w:pStyle w:val="Style19"/>
        <w:spacing w:lineRule="auto"/>
        <w:jc w:val="center"/>
        <w:rPr>
          <w:rFonts w:ascii="標楷體" w:hAnsi="標楷體" w:eastAsia="標楷體"/>
          <w:bCs/>
          <w:sz w:val="36"/>
          <w:szCs w:val="36"/>
        </w:rPr>
      </w:pPr>
      <w:r>
        <w:rPr>
          <w:rFonts w:ascii="標楷體" w:hAnsi="標楷體" w:eastAsia="標楷體"/>
          <w:bCs/>
          <w:sz w:val="36"/>
          <w:szCs w:val="36"/>
        </w:rPr>
        <w:t>臺中市政府衛生局</w:t>
      </w:r>
    </w:p>
    <w:p>
      <w:pPr>
        <w:pStyle w:val="Style19"/>
        <w:spacing w:lineRule="auto"/>
        <w:jc w:val="center"/>
        <w:rPr/>
      </w:pPr>
      <w:r>
        <w:rPr>
          <w:rStyle w:val="Style14"/>
          <w:rFonts w:ascii="標楷體" w:hAnsi="標楷體" w:eastAsia="標楷體"/>
          <w:bCs/>
          <w:sz w:val="36"/>
          <w:szCs w:val="36"/>
        </w:rPr>
        <w:t>稽查診所</w:t>
      </w:r>
      <w:r>
        <w:rPr>
          <w:rStyle w:val="Style14"/>
          <w:rFonts w:eastAsia="標楷體"/>
          <w:sz w:val="36"/>
          <w:szCs w:val="36"/>
        </w:rPr>
        <w:t>放射線設施設備及人員配置查核</w:t>
      </w:r>
      <w:r>
        <w:rPr>
          <w:rStyle w:val="Style14"/>
          <w:rFonts w:ascii="標楷體" w:hAnsi="標楷體" w:eastAsia="標楷體"/>
          <w:spacing w:val="20"/>
          <w:sz w:val="36"/>
          <w:szCs w:val="36"/>
        </w:rPr>
        <w:t>表</w:t>
      </w:r>
    </w:p>
    <w:p>
      <w:pPr>
        <w:pStyle w:val="Style19"/>
        <w:tabs>
          <w:tab w:val="clear" w:pos="480"/>
        </w:tabs>
        <w:spacing w:lineRule="auto"/>
        <w:ind w:left="540" w:hanging="540"/>
        <w:jc w:val="distribute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                                </w:t>
      </w:r>
      <w:r>
        <w:rPr>
          <w:rFonts w:eastAsia="標楷體"/>
          <w:sz w:val="32"/>
          <w:szCs w:val="32"/>
        </w:rPr>
        <w:t>年    月    日</w:t>
      </w:r>
    </w:p>
    <w:tbl>
      <w:tblPr>
        <w:tblW w:w="1044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1"/>
        <w:gridCol w:w="3378"/>
        <w:gridCol w:w="1425"/>
        <w:gridCol w:w="360"/>
        <w:gridCol w:w="1590"/>
        <w:gridCol w:w="1591"/>
      </w:tblGrid>
      <w:tr>
        <w:trPr>
          <w:trHeight w:val="754" w:hRule="atLeast"/>
        </w:trPr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診所名稱</w:t>
            </w:r>
          </w:p>
        </w:tc>
        <w:tc>
          <w:tcPr>
            <w:tcW w:w="35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診所</w:t>
            </w:r>
          </w:p>
        </w:tc>
      </w:tr>
      <w:tr>
        <w:trPr>
          <w:trHeight w:val="790" w:hRule="atLeast"/>
        </w:trPr>
        <w:tc>
          <w:tcPr>
            <w:tcW w:w="2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     區      里          路      段      號      樓</w:t>
            </w:r>
          </w:p>
        </w:tc>
      </w:tr>
      <w:tr>
        <w:trPr>
          <w:trHeight w:val="804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查    核   事   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是否符合</w:t>
            </w:r>
          </w:p>
          <w:p>
            <w:pPr>
              <w:pStyle w:val="Style19"/>
              <w:snapToGrid w:val="false"/>
              <w:spacing w:lineRule="atLeast" w:line="240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( ˇ</w:t>
            </w:r>
            <w:r>
              <w:rPr>
                <w:rStyle w:val="Style14"/>
                <w:rFonts w:eastAsia="標楷體"/>
                <w:sz w:val="28"/>
                <w:szCs w:val="28"/>
              </w:rPr>
              <w:t>或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×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spacing w:lineRule="atLeast" w: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  　註</w:t>
            </w:r>
          </w:p>
        </w:tc>
      </w:tr>
      <w:tr>
        <w:trPr>
          <w:trHeight w:val="59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一、設放射線診斷設施者，應具下列設備：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一般診斷型</w:t>
            </w: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/>
                <w:sz w:val="28"/>
                <w:szCs w:val="28"/>
              </w:rPr>
              <w:t>光設備。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700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340"/>
              <w:ind w:left="361" w:hanging="3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(2)X</w:t>
            </w:r>
            <w:r>
              <w:rPr>
                <w:rFonts w:eastAsia="標楷體"/>
                <w:sz w:val="28"/>
                <w:szCs w:val="28"/>
              </w:rPr>
              <w:t>光實體或影像處理系統設施與影像資料貯存裝置。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包括傳統或數位化之處理設施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(3)</w:t>
            </w:r>
            <w:r>
              <w:rPr>
                <w:rFonts w:eastAsia="標楷體"/>
                <w:sz w:val="28"/>
                <w:szCs w:val="28"/>
              </w:rPr>
              <w:t>更衣室。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二、實施注射對比劑之檢查室應備有下列急救設備：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插管。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(2)</w:t>
            </w:r>
            <w:r>
              <w:rPr>
                <w:rFonts w:eastAsia="標楷體"/>
                <w:sz w:val="28"/>
                <w:szCs w:val="28"/>
              </w:rPr>
              <w:t>基本急救藥物。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(3)</w:t>
            </w:r>
            <w:r>
              <w:rPr>
                <w:rFonts w:eastAsia="標楷體"/>
                <w:sz w:val="28"/>
                <w:szCs w:val="28"/>
              </w:rPr>
              <w:t>氧氣供給。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(4)</w:t>
            </w:r>
            <w:r>
              <w:rPr>
                <w:rFonts w:eastAsia="標楷體"/>
                <w:sz w:val="28"/>
                <w:szCs w:val="28"/>
              </w:rPr>
              <w:t>電擊器。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26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520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三、符合游離輻射防護法之規定。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526" w:hRule="atLeast"/>
        </w:trPr>
        <w:tc>
          <w:tcPr>
            <w:tcW w:w="726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300"/>
              <w:ind w:left="504" w:hanging="50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四、設放射線設施者，除由醫師親自執行該業務者外，應有醫事放射人員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9"/>
        <w:spacing w:lineRule="exact" w:line="400" w:before="180" w:after="180"/>
        <w:ind w:firstLine="140"/>
        <w:rPr/>
      </w:pPr>
      <w:r>
        <w:rPr>
          <w:rStyle w:val="Style14"/>
          <w:rFonts w:eastAsia="標楷體"/>
          <w:sz w:val="28"/>
          <w:szCs w:val="28"/>
        </w:rPr>
        <w:t>稽查結果：□符合設置標準   □不符合設置標準     稽查人員：</w:t>
      </w:r>
      <w:r>
        <w:rPr>
          <w:rStyle w:val="Style14"/>
          <w:rFonts w:eastAsia="標楷體"/>
          <w:sz w:val="28"/>
          <w:szCs w:val="28"/>
          <w:u w:val="single"/>
        </w:rPr>
        <w:t xml:space="preserve">                   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480"/>
        <w:ind w:left="2" w:firstLine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稽查當時稽查事項與事實相符，被稽查診所負責人並無異議，且稽查人員無不法情事。</w:t>
      </w:r>
    </w:p>
    <w:p>
      <w:pPr>
        <w:pStyle w:val="Style19"/>
        <w:spacing w:lineRule="exact" w:line="480"/>
        <w:ind w:firstLine="140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</w:r>
    </w:p>
    <w:p>
      <w:pPr>
        <w:pStyle w:val="Style19"/>
        <w:spacing w:lineRule="exact" w:line="480"/>
        <w:ind w:firstLine="140"/>
        <w:rPr/>
      </w:pPr>
      <w:r>
        <w:rPr>
          <w:rStyle w:val="Style14"/>
          <w:rFonts w:eastAsia="標楷體"/>
          <w:b/>
          <w:sz w:val="28"/>
          <w:szCs w:val="28"/>
        </w:rPr>
        <w:t>診所負責人簽章：</w:t>
      </w:r>
      <w:r>
        <w:rPr>
          <w:rStyle w:val="Style14"/>
          <w:rFonts w:eastAsia="標楷體"/>
          <w:sz w:val="28"/>
          <w:szCs w:val="28"/>
          <w:u w:val="single"/>
        </w:rPr>
        <w:t xml:space="preserve">                       </w:t>
      </w:r>
    </w:p>
    <w:p>
      <w:pPr>
        <w:pStyle w:val="Style19"/>
        <w:rPr/>
      </w:pPr>
      <w:r>
        <w:rPr/>
        <w:drawing>
          <wp:inline distT="0" distB="0" distL="0" distR="0">
            <wp:extent cx="6915150" cy="9429750"/>
            <wp:effectExtent l="0" t="0" r="0" b="0"/>
            <wp:docPr id="11" name="Object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ject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10400" cy="10753725"/>
            <wp:effectExtent l="0" t="0" r="0" b="0"/>
            <wp:docPr id="12" name="Object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ject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3"/>
        <w:gridCol w:w="1559"/>
        <w:gridCol w:w="1343"/>
      </w:tblGrid>
      <w:tr>
        <w:trPr>
          <w:trHeight w:val="851" w:hRule="atLeast"/>
        </w:trPr>
        <w:tc>
          <w:tcPr>
            <w:tcW w:w="7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720" w:hanging="72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 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四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清潔、消毒設備及醫療廢棄物處理。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08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五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共同使用區域內之消防設備及安全設施。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六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緊急供電設備。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七、得共同設置調劑部門，且應有專任藥事人員。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616" w:hanging="616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八、得共同設置檢驗部門，且應有專任醫事檢驗人員。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320"/>
              <w:ind w:left="616" w:hanging="616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九、得共同設置放射線設備，且應有專任放射技術人員，但僅設牙醫放射線設備者，得不受限制。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7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840" w:hanging="8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十、應檢具共同合約書及共同責任切結書。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9"/>
        <w:spacing w:lineRule="exact" w:line="320" w:before="180" w:after="180"/>
        <w:rPr/>
      </w:pPr>
      <w:r>
        <w:rPr>
          <w:rStyle w:val="Style14"/>
          <w:rFonts w:ascii="標楷體" w:hAnsi="標楷體" w:eastAsia="標楷體"/>
          <w:sz w:val="28"/>
          <w:szCs w:val="28"/>
        </w:rPr>
        <w:t>稽查結果：□符合設置標準    □不符合設置標準     稽查人員：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440"/>
        <w:ind w:left="357" w:hanging="357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稽查當時稽查事項與事實相符，被稽查診所負責人並無異議，且稽查人員無不法情事。</w:t>
      </w:r>
    </w:p>
    <w:p>
      <w:pPr>
        <w:pStyle w:val="Style19"/>
        <w:spacing w:lineRule="exact" w:line="50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診所負責人簽章：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</w:t>
      </w:r>
      <w:r>
        <w:rPr>
          <w:rStyle w:val="Style14"/>
          <w:rFonts w:eastAsia="標楷體" w:ascii="標楷體" w:hAnsi="標楷體"/>
          <w:b/>
          <w:sz w:val="28"/>
          <w:szCs w:val="28"/>
          <w:u w:val="single"/>
        </w:rPr>
        <w:t>1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、              </w:t>
      </w:r>
      <w:r>
        <w:rPr>
          <w:rStyle w:val="Style14"/>
          <w:rFonts w:eastAsia="標楷體" w:ascii="標楷體" w:hAnsi="標楷體"/>
          <w:b/>
          <w:sz w:val="28"/>
          <w:szCs w:val="28"/>
          <w:u w:val="single"/>
        </w:rPr>
        <w:t>2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、               </w:t>
      </w:r>
      <w:r>
        <w:rPr>
          <w:rStyle w:val="Style14"/>
          <w:rFonts w:eastAsia="標楷體" w:ascii="標楷體" w:hAnsi="標楷體"/>
          <w:b/>
          <w:sz w:val="28"/>
          <w:szCs w:val="28"/>
          <w:u w:val="single"/>
        </w:rPr>
        <w:t>3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、              </w:t>
      </w:r>
      <w:r>
        <w:br w:type="page"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jc w:val="center"/>
        <w:rPr/>
      </w:pPr>
      <w:r>
        <w:rPr>
          <w:rStyle w:val="Style14"/>
          <w:b/>
        </w:rPr>
        <w:drawing>
          <wp:inline distT="0" distB="0" distL="0" distR="0">
            <wp:extent cx="6915150" cy="9391650"/>
            <wp:effectExtent l="0" t="0" r="0" b="0"/>
            <wp:docPr id="13" name="Object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</w:rPr>
        <w:drawing>
          <wp:inline distT="0" distB="0" distL="0" distR="0">
            <wp:extent cx="7048500" cy="9734550"/>
            <wp:effectExtent l="0" t="0" r="0" b="0"/>
            <wp:docPr id="14" name="Object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</w:rPr>
        <w:drawing>
          <wp:inline distT="0" distB="0" distL="0" distR="0">
            <wp:extent cx="7229475" cy="9591675"/>
            <wp:effectExtent l="0" t="0" r="0" b="0"/>
            <wp:docPr id="15" name="Object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ject 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4"/>
          <w:b/>
        </w:rPr>
        <w:drawing>
          <wp:inline distT="0" distB="0" distL="0" distR="0">
            <wp:extent cx="6677025" cy="9286875"/>
            <wp:effectExtent l="0" t="0" r="0" b="0"/>
            <wp:docPr id="16" name="Object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ject 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4"/>
          <w:b/>
        </w:rPr>
        <w:drawing>
          <wp:inline distT="0" distB="0" distL="0" distR="0">
            <wp:extent cx="6753225" cy="9077325"/>
            <wp:effectExtent l="0" t="0" r="0" b="0"/>
            <wp:docPr id="17" name="Object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ject 2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</w:rPr>
        <w:drawing>
          <wp:inline distT="0" distB="0" distL="0" distR="0">
            <wp:extent cx="6972300" cy="18859500"/>
            <wp:effectExtent l="0" t="0" r="0" b="0"/>
            <wp:docPr id="18" name="Object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ject 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88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>
          <w:b/>
          <w:b/>
        </w:rPr>
      </w:pPr>
      <w:r>
        <w:rPr>
          <w:b/>
        </w:rPr>
      </w:r>
    </w:p>
    <w:p>
      <w:pPr>
        <w:pStyle w:val="Style19"/>
        <w:jc w:val="center"/>
        <w:rPr/>
      </w:pPr>
      <w:r>
        <w:rPr>
          <w:rStyle w:val="Style14"/>
          <w:b/>
        </w:rPr>
        <w:drawing>
          <wp:inline distT="0" distB="0" distL="0" distR="0">
            <wp:extent cx="6762750" cy="9572625"/>
            <wp:effectExtent l="0" t="0" r="0" b="0"/>
            <wp:docPr id="19" name="Object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ject 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426" w:right="282" w:header="0" w:top="567" w:footer="0" w:bottom="567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標楷體" w:hAnsi="標楷體" w:cs="標楷體" w:hint="default"/>
        <w:sz w:val="28"/>
        <w:szCs w:val="28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8">
    <w:name w:val="問候 字元"/>
    <w:basedOn w:val="Style14"/>
    <w:qFormat/>
    <w:rPr>
      <w:rFonts w:ascii="Times New Roman" w:hAnsi="Times New Roman" w:eastAsia="標楷體" w:cs="Times New Roman"/>
      <w:szCs w:val="24"/>
    </w:rPr>
  </w:style>
  <w:style w:type="character" w:styleId="WWCharLFO1LVL1">
    <w:name w:val="WW_CharLFO1LVL1"/>
    <w:qFormat/>
    <w:rPr>
      <w:rFonts w:ascii="標楷體" w:hAnsi="標楷體" w:eastAsia="標楷體" w:cs="Times New Roman"/>
      <w:sz w:val="28"/>
      <w:szCs w:val="28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0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3">
    <w:name w:val="問候"/>
    <w:basedOn w:val="Style19"/>
    <w:next w:val="Style19"/>
    <w:qFormat/>
    <w:pPr>
      <w:suppressAutoHyphens w:val="true"/>
    </w:pPr>
    <w:rPr>
      <w:rFonts w:ascii="Times New Roman" w:hAnsi="Times New Roman" w:eastAsia="標楷體"/>
      <w:szCs w:val="24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NDC_ODF_Application_Tools/2.0.3$Windows_X86_64 LibreOffice_project/1472acae6e38251b44b07e4fedb25fc989b2f3fb</Application>
  <Pages>23</Pages>
  <Words>348</Words>
  <CharactersWithSpaces>2328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2019-10-23T07:08:00Z</dcterms:created>
  <dc:creator>洪麗惠</dc:creator>
  <dc:description/>
  <dc:language>zh-TW</dc:language>
  <cp:lastModifiedBy>洪麗惠</cp:lastModifiedBy>
  <cp:lastPrinted>2016-11-30T07:37:00Z</cp:lastPrinted>
  <dcterms:modified xsi:type="dcterms:W3CDTF">2019-10-23T07:16:00Z</dcterms:modified>
  <cp:revision>3</cp:revision>
  <dc:subject/>
  <dc:title/>
</cp:coreProperties>
</file>